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bounded to the </w:t>
      </w:r>
      <w:r>
        <w:rPr>
          <w:rFonts w:ascii="Times New Roman" w:hAnsi="Times New Roman"/>
          <w:b/>
          <w:i w:val="0"/>
          <w:sz w:val="20"/>
        </w:rPr>
        <w:t>output contract</w:t>
      </w:r>
      <w:r>
        <w:rPr>
          <w:rFonts w:ascii="Times New Roman" w:hAnsi="Times New Roman"/>
          <w:b w:val="0"/>
          <w:i w:val="0"/>
          <w:sz w:val="20"/>
        </w:rPr>
        <w:t xml:space="preserve">, the </w:t>
      </w:r>
      <w:r>
        <w:rPr>
          <w:rFonts w:ascii="Times New Roman" w:hAnsi="Times New Roman"/>
          <w:b/>
          <w:i w:val="0"/>
          <w:sz w:val="20"/>
        </w:rPr>
        <w:t>zero-counted versus answered-only</w:t>
      </w:r>
      <w:r>
        <w:rPr>
          <w:rFonts w:ascii="Times New Roman" w:hAnsi="Times New Roman"/>
          <w:b w:val="0"/>
          <w:i w:val="0"/>
          <w:sz w:val="20"/>
        </w:rPr>
        <w:t xml:space="preserve"> conventions, and </w:t>
      </w:r>
      <w:r>
        <w:rPr>
          <w:rFonts w:ascii="Times New Roman" w:hAnsi="Times New Roman"/>
          <w:b/>
          <w:i w:val="0"/>
          <w:sz w:val="20"/>
        </w:rPr>
        <w:t>ordering within pre-specified level sets</w:t>
      </w:r>
      <w:r>
        <w:rPr>
          <w:rFonts w:ascii="Times New Roman" w:hAnsi="Times New Roman"/>
          <w:b w:val="0"/>
          <w:i w:val="0"/>
          <w:sz w:val="20"/>
        </w:rPr>
        <w:t>.</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and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 among the tested interventions.</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w:t>
      </w:r>
      <w:r>
        <w:rPr>
          <w:rFonts w:ascii="Times New Roman" w:hAnsi="Times New Roman"/>
          <w:b/>
          <w:i w:val="0"/>
          <w:sz w:val="20"/>
        </w:rPr>
        <w:t>among the tested interventions, tiling is the only one that improves both.</w:t>
      </w:r>
      <w:r>
        <w:rPr>
          <w:rFonts w:ascii="Times New Roman" w:hAnsi="Times New Roman"/>
          <w:b w:val="0"/>
          <w:i w:val="0"/>
          <w:sz w:val="20"/>
        </w:rPr>
        <w:t xml:space="preserve">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787520"/>
            <wp:docPr id="2" name="Picture 2"/>
            <wp:cNvGraphicFramePr>
              <a:graphicFrameLocks noChangeAspect="1"/>
            </wp:cNvGraphicFramePr>
            <a:graphic>
              <a:graphicData uri="http://schemas.openxmlformats.org/drawingml/2006/picture">
                <pic:pic>
                  <pic:nvPicPr>
                    <pic:cNvPr id="0" name="F12_prompt_dose.png"/>
                    <pic:cNvPicPr/>
                  </pic:nvPicPr>
                  <pic:blipFill>
                    <a:blip r:embed="rId11"/>
                    <a:stretch>
                      <a:fillRect/>
                    </a:stretch>
                  </pic:blipFill>
                  <pic:spPr>
                    <a:xfrm>
                      <a:off x="0" y="0"/>
                      <a:ext cx="2736000" cy="1787520"/>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[6]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with characteristic trade-offs, and magnitude error is the axis on which they are compared.</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it is gated by per-instance legibility, and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i w:val="0"/>
                <w:sz w:val="20"/>
              </w:rPr>
              <w:t>10,800</w:t>
            </w:r>
            <w:r>
              <w:rPr>
                <w:rFonts w:ascii="Times New Roman" w:hAnsi="Times New Roman"/>
                <w:b w:val="0"/>
                <w:i w:val="0"/>
                <w:sz w:val="20"/>
              </w:rPr>
              <w:t xml:space="preserve"> synthetic images, </w:t>
            </w:r>
            <w:r>
              <w:rPr>
                <w:rFonts w:ascii="Times New Roman" w:hAnsi="Times New Roman"/>
                <w:b/>
                <w:i w:val="0"/>
                <w:sz w:val="20"/>
              </w:rPr>
              <w:t>six</w:t>
            </w:r>
            <w:r>
              <w:rPr>
                <w:rFonts w:ascii="Times New Roman" w:hAnsi="Times New Roman"/>
                <w:b w:val="0"/>
                <w:i w:val="0"/>
                <w:sz w:val="20"/>
              </w:rPr>
              <w:t xml:space="preserve"> controlled conditions, </w:t>
            </w:r>
            <w:r>
              <w:rPr>
                <w:rFonts w:ascii="Times New Roman" w:hAnsi="Times New Roman"/>
                <w:b/>
                <w:i w:val="0"/>
                <w:sz w:val="20"/>
              </w:rPr>
              <w:t>seven</w:t>
            </w:r>
            <w:r>
              <w:rPr>
                <w:rFonts w:ascii="Times New Roman" w:hAnsi="Times New Roman"/>
                <w:b w:val="0"/>
                <w:i w:val="0"/>
                <w:sz w:val="20"/>
              </w:rPr>
              <w:t xml:space="preserve"> VLMs</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(batch ≤ 2), and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rather than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that build's two-source comparison is licensed (the other three builds' two-source agreement there is largely a saturation product, Appendix M.32(c)), and  remains unknown (Appendix M.21)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10000"/>
            <wp:docPr id="3" name="Picture 3"/>
            <wp:cNvGraphicFramePr>
              <a:graphicFrameLocks noChangeAspect="1"/>
            </wp:cNvGraphicFramePr>
            <a:graphic>
              <a:graphicData uri="http://schemas.openxmlformats.org/drawingml/2006/picture">
                <pic:pic>
                  <pic:nvPicPr>
                    <pic:cNvPr id="0" name="F8_tau_cleaning.png"/>
                    <pic:cNvPicPr/>
                  </pic:nvPicPr>
                  <pic:blipFill>
                    <a:blip r:embed="rId12"/>
                    <a:stretch>
                      <a:fillRect/>
                    </a:stretch>
                  </pic:blipFill>
                  <pic:spPr>
                    <a:xfrm>
                      <a:off x="0" y="0"/>
                      <a:ext cx="2736000" cy="171000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M.19.16(ii),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Count and correctness under controlled rendering factors</w:t>
      </w:r>
    </w:p>
    <w:p>
      <w:r>
        <w:rPr>
          <w:rFonts w:ascii="Times New Roman" w:hAnsi="Times New Roman"/>
          <w:b w:val="0"/>
          <w:i w:val="0"/>
          <w:sz w:val="20"/>
        </w:rPr>
        <w:t>A new synthetic-dot experiment holds the rendering fixed: count predicts correctness, not abstention. β = −4.2059, CI [−4.6465, −3.7653], 49.9% → 2.1% → 0.5% (11,232 = primary; contrast in M.11.1).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985806"/>
            <wp:docPr id="4" name="Picture 4"/>
            <wp:cNvGraphicFramePr>
              <a:graphicFrameLocks noChangeAspect="1"/>
            </wp:cNvGraphicFramePr>
            <a:graphic>
              <a:graphicData uri="http://schemas.openxmlformats.org/drawingml/2006/picture">
                <pic:pic>
                  <pic:nvPicPr>
                    <pic:cNvPr id="0" name="F11_abstention_vs_undercount.png"/>
                    <pic:cNvPicPr/>
                  </pic:nvPicPr>
                  <pic:blipFill>
                    <a:blip r:embed="rId13"/>
                    <a:stretch>
                      <a:fillRect/>
                    </a:stretch>
                  </pic:blipFill>
                  <pic:spPr>
                    <a:xfrm>
                      <a:off x="0" y="0"/>
                      <a:ext cx="2736000" cy="1985806"/>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for the three decision forms tested here: across those forms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which is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as printed in Appendix M.31.2.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the VLM contract arm's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(cluster-level; recomputed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the grid density and the calibration caliber that produced it.</w:t>
      </w:r>
      <w:r>
        <w:rPr>
          <w:rFonts w:ascii="Times New Roman" w:hAnsi="Times New Roman"/>
          <w:b w:val="0"/>
          <w:i w:val="0"/>
          <w:sz w:val="20"/>
        </w:rPr>
        <w:t xml:space="preserve"> </w:t>
      </w:r>
      <w:r>
        <w:rPr>
          <w:rFonts w:ascii="Times New Roman" w:hAnsi="Times New Roman"/>
          <w:b/>
          <w:i w:val="0"/>
          <w:sz w:val="20"/>
        </w:rPr>
        <w:t>We do not turn this into a deployment rule</w:t>
      </w:r>
      <w:r>
        <w:rPr>
          <w:rFonts w:ascii="Times New Roman" w:hAnsi="Times New Roman"/>
          <w:b w:val="0"/>
          <w:i w:val="0"/>
          <w:sz w:val="20"/>
        </w:rPr>
        <w:t>: the ordering we report is descriptive. Our own candidate for the magnitude (Proposition 3) is a component of the definition and is withdrawn, so a magnitude law remains open;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The three annotation-free signals tested do not form the rule defined above</w:t>
      </w:r>
      <w:r>
        <w:rPr>
          <w:rFonts w:ascii="Times New Roman" w:hAnsi="Times New Roman"/>
          <w:b w:val="0"/>
          <w:i w:val="0"/>
          <w:sz w:val="20"/>
        </w:rPr>
        <w:t xml:space="preserve">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identified by the three tested output-level signals</w:t>
      </w:r>
      <w:r>
        <w:rPr>
          <w:rFonts w:ascii="Times New Roman" w:hAnsi="Times New Roman"/>
          <w:b w:val="0"/>
          <w:i w:val="0"/>
          <w:sz w:val="20"/>
        </w:rPr>
        <w:t xml:space="preserve"> — it must come from outside the answers (Appendices M.23, M.14).</w:t>
      </w:r>
    </w:p>
    <w:p>
      <w:pPr>
        <w:pStyle w:val="Heading3"/>
      </w:pPr>
      <w:r>
        <w:rPr>
          <w:rFonts w:ascii="Times New Roman" w:hAnsi="Times New Roman"/>
          <w:b/>
          <w:i w:val="0"/>
          <w:sz w:val="20"/>
        </w:rPr>
        <w:t>7.8 Enumeration versus regression: what this corpus measures</w:t>
      </w:r>
    </w:p>
    <w:p>
      <w:r>
        <w:rPr>
          <w:rFonts w:ascii="Times New Roman" w:hAnsi="Times New Roman"/>
          <w:b w:val="0"/>
          <w:i w:val="0"/>
          <w:sz w:val="20"/>
        </w:rPr>
        <w:t>Enumeration-style counting is more directionally controllable than regression-style counting on this corpus: the regress-then-round pipelines we test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arms against any OpenAI-compatible endpoint given only images — no dependency on our corpora, annotations or detectors, and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and the </w:t>
      </w:r>
      <w:r>
        <w:rPr>
          <w:rFonts w:ascii="Times New Roman" w:hAnsi="Times New Roman"/>
          <w:b/>
          <w:i w:val="0"/>
          <w:sz w:val="20"/>
        </w:rPr>
        <w:t>item-answered fraction</w:t>
      </w:r>
      <w:r>
        <w:rPr>
          <w:rFonts w:ascii="Times New Roman" w:hAnsi="Times New Roman"/>
          <w:b w:val="0"/>
          <w:i w:val="0"/>
          <w:sz w:val="20"/>
        </w:rPr>
        <w:t xml:space="preserve"> w (not Proposition 4's ground-truth-weighted w); the two deviations need reference counts on the same scored subset, so without them only that diagnosis is licensed.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direction readings, M.46(a) ⇒ contract-set; &gt;30% ⇒ record a counterexample and retry with the three-option wording; below the 7 pp noise floor ⇒ immaterial). Adoption costs one serving session and yields the two quantities §5.3–§5.13 turn on, making these comparisons reproducible elsewhere (M.22). In a first independent use it was run, unchanged, on two corpora whose recipe residual had never been reported including a large unconstrained dense-crowd release (JHU-CROWD++ [51]),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not an under-count (§3.8) — three of twenty cells, unmeasured rather than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