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  <w:spacing w:after="120"/>
      </w:pPr>
      <w:r>
        <w:t>Abstention, not underestimation, drives 82-94% of the dense-scene under-count.</w:t>
      </w:r>
    </w:p>
    <w:p>
      <w:pPr>
        <w:pStyle w:val="ListBullet"/>
        <w:spacing w:after="120"/>
      </w:pPr>
      <w:r>
        <w:t>An answered zero is a suppressed abstention: one token removes it, 46 of 52 cells.</w:t>
      </w:r>
    </w:p>
    <w:p>
      <w:pPr>
        <w:pStyle w:val="ListBullet"/>
        <w:spacing w:after="120"/>
      </w:pPr>
      <w:r>
        <w:t>Dense-scene zeros are build-specific: 9% vs 99% for two builds of one checkpoint.</w:t>
      </w:r>
    </w:p>
    <w:p>
      <w:pPr>
        <w:pStyle w:val="ListBullet"/>
        <w:spacing w:after="120"/>
      </w:pPr>
      <w:r>
        <w:t>Aerial-scene zeros are domain-specific: 11 of 12 configurations give 62-99%.</w:t>
      </w:r>
    </w:p>
    <w:p>
      <w:pPr>
        <w:pStyle w:val="ListBullet"/>
        <w:spacing w:after="120"/>
      </w:pPr>
      <w:r>
        <w:t>Contract-stated abstention saturates in dense scenes, and stays selective in aerial.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