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for counting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the open-weight models studied here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the ground-truth-weighted share (</w:t>
      </w:r>
      <w:r>
        <w:rPr>
          <w:rFonts w:ascii="Times New Roman" w:hAnsi="Times New Roman"/>
          <w:b/>
          <w:i w:val="0"/>
          <w:sz w:val="20"/>
        </w:rPr>
        <w:t>base arm, Chinese prompts, one anchor lineage</w:t>
      </w:r>
      <w:r>
        <w:rPr>
          <w:rFonts w:ascii="Times New Roman" w:hAnsi="Times New Roman"/>
          <w:b w:val="0"/>
          <w:i w:val="0"/>
          <w:sz w:val="20"/>
        </w:rPr>
        <w:t xml:space="preserve">; the </w:t>
      </w:r>
      <w:r>
        <w:rPr>
          <w:rFonts w:ascii="Times New Roman" w:hAnsi="Times New Roman"/>
          <w:b/>
          <w:i w:val="0"/>
          <w:sz w:val="20"/>
        </w:rPr>
        <w:t>unweighted</w:t>
      </w:r>
      <w:r>
        <w:rPr>
          <w:rFonts w:ascii="Times New Roman" w:hAnsi="Times New Roman"/>
          <w:b w:val="0"/>
          <w:i w:val="0"/>
          <w:sz w:val="20"/>
        </w:rPr>
        <w:t xml:space="preserve"> convention gives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under English prompts</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Appendix M). The gate is the </w:t>
      </w:r>
      <w:r>
        <w:rPr>
          <w:rFonts w:ascii="Times New Roman" w:hAnsi="Times New Roman"/>
          <w:b/>
          <w:i w:val="0"/>
          <w:sz w:val="20"/>
        </w:rPr>
        <w:t>availability of an abstention token</w:t>
      </w:r>
      <w:r>
        <w:rPr>
          <w:rFonts w:ascii="Times New Roman" w:hAnsi="Times New Roman"/>
          <w:b w:val="0"/>
          <w:i w:val="0"/>
          <w:sz w:val="20"/>
        </w:rPr>
        <w:t xml:space="preserve">, not enumeration demand (Appendix M.18), with answered zeros </w:t>
      </w:r>
      <w:r>
        <w:rPr>
          <w:rFonts w:ascii="Times New Roman" w:hAnsi="Times New Roman"/>
          <w:b/>
          <w:i w:val="0"/>
          <w:sz w:val="20"/>
        </w:rPr>
        <w:t>build- or domain-specific</w:t>
      </w:r>
      <w:r>
        <w:rPr>
          <w:rFonts w:ascii="Times New Roman" w:hAnsi="Times New Roman"/>
          <w:b w:val="0"/>
          <w:i w:val="0"/>
          <w:sz w:val="20"/>
        </w:rPr>
        <w:t>. Abstention is a behaviour, not a capability ceiling: gated by legibility rather than count, lineage-specific in channel, removable by tiling (</w:t>
      </w:r>
      <w:r>
        <w:rPr>
          <w:rFonts w:ascii="Times New Roman" w:hAnsi="Times New Roman"/>
          <w:b/>
          <w:i w:val="0"/>
          <w:sz w:val="20"/>
        </w:rPr>
        <w:t>56.6% → 0.0%</w:t>
      </w:r>
      <w:r>
        <w:rPr>
          <w:rFonts w:ascii="Times New Roman" w:hAnsi="Times New Roman"/>
          <w:b w:val="0"/>
          <w:i w:val="0"/>
          <w:sz w:val="20"/>
        </w:rPr>
        <w:t xml:space="preserve">)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and items), </w:t>
      </w:r>
      <w:r>
        <w:rPr>
          <w:rFonts w:ascii="Times New Roman" w:hAnsi="Times New Roman"/>
          <w:b/>
          <w:i w:val="0"/>
          <w:sz w:val="20"/>
        </w:rPr>
        <w:t>3.5×</w:t>
      </w:r>
      <w:r>
        <w:rPr>
          <w:rFonts w:ascii="Times New Roman" w:hAnsi="Times New Roman"/>
          <w:b w:val="0"/>
          <w:i w:val="0"/>
          <w:sz w:val="20"/>
        </w:rPr>
        <w:t xml:space="preserve"> under a training-domain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Appendix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Object counting is used in surveillance and resource scheduling, where the costs of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w:t>
      </w:r>
      <w:r>
        <w:rPr>
          <w:rFonts w:ascii="Times New Roman" w:hAnsi="Times New Roman"/>
          <w:b/>
          <w:i w:val="0"/>
          <w:sz w:val="20"/>
        </w:rPr>
        <w:t>signed direction</w:t>
      </w:r>
      <w:r>
        <w:rPr>
          <w:rFonts w:ascii="Times New Roman" w:hAnsi="Times New Roman"/>
          <w:b w:val="0"/>
          <w:i w:val="0"/>
          <w:sz w:val="20"/>
        </w:rPr>
        <w:t xml:space="preserve"> of the error has therefore remained implicit. Our first question is: </w:t>
      </w:r>
      <w:r>
        <w:rPr>
          <w:rFonts w:ascii="Times New Roman" w:hAnsi="Times New Roman"/>
          <w:b w:val="0"/>
          <w:i/>
          <w:sz w:val="20"/>
        </w:rPr>
        <w:t>can the error direction of a counting system be manipulated systematically, and what determines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answering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 one anchor lineage</w:t>
      </w:r>
      <w:r>
        <w:rPr>
          <w:rFonts w:ascii="Times New Roman" w:hAnsi="Times New Roman"/>
          <w:b w:val="0"/>
          <w:i w:val="0"/>
          <w:sz w:val="20"/>
        </w:rPr>
        <w:t xml:space="preserve">; over all arms and domains the share spans </w:t>
      </w:r>
      <w:r>
        <w:rPr>
          <w:rFonts w:ascii="Times New Roman" w:hAnsi="Times New Roman"/>
          <w:b/>
          <w:i w:val="0"/>
          <w:sz w:val="20"/>
        </w:rPr>
        <w:t>0–99.4%</w:t>
      </w:r>
      <w:r>
        <w:rPr>
          <w:rFonts w:ascii="Times New Roman" w:hAnsi="Times New Roman"/>
          <w:b w:val="0"/>
          <w:i w:val="0"/>
          <w:sz w:val="20"/>
        </w:rPr>
        <w:t xml:space="preserve"> — the </w:t>
      </w:r>
      <w:r>
        <w:rPr>
          <w:rFonts w:ascii="Times New Roman" w:hAnsi="Times New Roman"/>
          <w:b w:val="0"/>
          <w:i/>
          <w:sz w:val="20"/>
        </w:rPr>
        <w:t>over</w:t>
      </w:r>
      <w:r>
        <w:rPr>
          <w:rFonts w:ascii="Times New Roman" w:hAnsi="Times New Roman"/>
          <w:b w:val="0"/>
          <w:i w:val="0"/>
          <w:sz w:val="20"/>
        </w:rPr>
        <w:t xml:space="preserve"> arm never abstains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under English prompts</w:t>
      </w:r>
      <w:r>
        <w:rPr>
          <w:rFonts w:ascii="Times New Roman" w:hAnsi="Times New Roman"/>
          <w:b w:val="0"/>
          <w:i w:val="0"/>
          <w:sz w:val="20"/>
        </w:rPr>
        <w:t xml:space="preserve"> (Appendix M.39)).</w:t>
      </w:r>
    </w:p>
    <w:p>
      <w:r>
        <w:rPr>
          <w:rFonts w:ascii="Times New Roman" w:hAnsi="Times New Roman"/>
          <w:b w:val="0"/>
          <w:i w:val="0"/>
          <w:sz w:val="20"/>
        </w:rPr>
        <w:t xml:space="preserve">The distinction changes three things: abstention is a </w:t>
      </w:r>
      <w:r>
        <w:rPr>
          <w:rFonts w:ascii="Times New Roman" w:hAnsi="Times New Roman"/>
          <w:b/>
          <w:i w:val="0"/>
          <w:sz w:val="20"/>
        </w:rPr>
        <w:t>behaviour</w:t>
      </w:r>
      <w:r>
        <w:rPr>
          <w:rFonts w:ascii="Times New Roman" w:hAnsi="Times New Roman"/>
          <w:b w:val="0"/>
          <w:i w:val="0"/>
          <w:sz w:val="20"/>
        </w:rPr>
        <w:t xml:space="preserve">, not a capability ceiling, and so is switchable from the input side; it must be reported </w:t>
      </w:r>
      <w:r>
        <w:rPr>
          <w:rFonts w:ascii="Times New Roman" w:hAnsi="Times New Roman"/>
          <w:b/>
          <w:i w:val="0"/>
          <w:sz w:val="20"/>
        </w:rPr>
        <w:t>separately</w:t>
      </w:r>
      <w:r>
        <w:rPr>
          <w:rFonts w:ascii="Times New Roman" w:hAnsi="Times New Roman"/>
          <w:b w:val="0"/>
          <w:i w:val="0"/>
          <w:sz w:val="20"/>
        </w:rPr>
        <w:t xml:space="preserve">, or a refusal reads as a </w:t>
      </w:r>
      <w:r>
        <w:rPr>
          <w:rFonts w:ascii="Times New Roman" w:hAnsi="Times New Roman"/>
          <w:b w:val="0"/>
          <w:i/>
          <w:sz w:val="20"/>
        </w:rPr>
        <w:t>conservative estimate</w:t>
      </w:r>
      <w:r>
        <w:rPr>
          <w:rFonts w:ascii="Times New Roman" w:hAnsi="Times New Roman"/>
          <w:b w:val="0"/>
          <w:i w:val="0"/>
          <w:sz w:val="20"/>
        </w:rPr>
        <w:t>; and removing it is not free.</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under conventional aggregation, as </w:t>
      </w:r>
      <w:r>
        <w:rPr>
          <w:rFonts w:ascii="Times New Roman" w:hAnsi="Times New Roman"/>
          <w:b w:val="0"/>
          <w:i/>
          <w:sz w:val="20"/>
        </w:rPr>
        <w:t>mild underestimation</w:t>
      </w:r>
      <w:r>
        <w:rPr>
          <w:rFonts w:ascii="Times New Roman" w:hAnsi="Times New Roman"/>
          <w:b w:val="0"/>
          <w:i w:val="0"/>
          <w:sz w:val="20"/>
        </w:rPr>
        <w:t xml:space="preserve"> — whereas on six images in ten it produces </w:t>
      </w:r>
      <w:r>
        <w:rPr>
          <w:rFonts w:ascii="Times New Roman" w:hAnsi="Times New Roman"/>
          <w:b/>
          <w:i w:val="0"/>
          <w:sz w:val="20"/>
        </w:rPr>
        <w:t>no estimate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 to correct.</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[53], but they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on which to build a rejection rule. The framework cannot be transplanted directly — abstention must first be </w:t>
      </w:r>
      <w:r>
        <w:rPr>
          <w:rFonts w:ascii="Times New Roman" w:hAnsi="Times New Roman"/>
          <w:b/>
          <w:i w:val="0"/>
          <w:sz w:val="20"/>
        </w:rPr>
        <w:t>operationalised and that operationalisation validated</w:t>
      </w:r>
      <w:r>
        <w:rPr>
          <w:rFonts w:ascii="Times New Roman" w:hAnsi="Times New Roman"/>
          <w:b w:val="0"/>
          <w:i w:val="0"/>
          <w:sz w:val="20"/>
        </w:rPr>
        <w:t xml:space="preserve"> in the counting domain (§3.6, Proposition 1) — and it was this step that exposed the problem with the received reading.</w:t>
      </w:r>
    </w:p>
    <w:p>
      <w:r>
        <w:rPr>
          <w:rFonts w:ascii="Times New Roman" w:hAnsi="Times New Roman"/>
          <w:b/>
          <w:i w:val="0"/>
          <w:sz w:val="20"/>
        </w:rPr>
        <w:t>Four properties of abstention (main results).</w:t>
      </w:r>
    </w:p>
    <w:p>
      <w:r>
        <w:rPr>
          <w:rFonts w:ascii="Times New Roman" w:hAnsi="Times New Roman"/>
          <w:b/>
          <w:i w:val="0"/>
          <w:sz w:val="20"/>
        </w:rPr>
        <w:t>① Measurable, with a lineage-specific expression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if a lineage abstained mainly in natural language, its ratio of answered-zero to textual refusal would approach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43%</w:t>
      </w:r>
      <w:r>
        <w:rPr>
          <w:rFonts w:ascii="Times New Roman" w:hAnsi="Times New Roman"/>
          <w:b w:val="0"/>
          <w:i w:val="0"/>
          <w:sz w:val="20"/>
        </w:rPr>
        <w:t xml:space="preserve">, and in microscopy abstention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because it is a behaviour: tiling (</w:t>
      </w:r>
      <w:r>
        <w:rPr>
          <w:rFonts w:ascii="Times New Roman" w:hAnsi="Times New Roman"/>
          <w:b/>
          <w:i w:val="0"/>
          <w:sz w:val="20"/>
        </w:rPr>
        <w:t>Fig. 1</w:t>
      </w:r>
      <w:r>
        <w:rPr>
          <w:rFonts w:ascii="Times New Roman" w:hAnsi="Times New Roman"/>
          <w:b w:val="0"/>
          <w:i w:val="0"/>
          <w:sz w:val="20"/>
        </w:rPr>
        <w:t xml:space="preserve">) drops the ShanghaiTech-A [2]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3</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tiling is the only mechanism that improves both.</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val="0"/>
          <w:i/>
          <w:sz w:val="20"/>
        </w:rPr>
        <w:t>(Per-property numbers: Appendix L; each is also stated where first used, in §5.)</w:t>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so the spectrum is not a function of the scanning grid. What is </w:t>
      </w:r>
      <w:r>
        <w:rPr>
          <w:rFonts w:ascii="Times New Roman" w:hAnsi="Times New Roman"/>
          <w:b/>
          <w:i w:val="0"/>
          <w:sz w:val="20"/>
        </w:rPr>
        <w:t>not</w:t>
      </w:r>
      <w:r>
        <w:rPr>
          <w:rFonts w:ascii="Times New Roman" w:hAnsi="Times New Roman"/>
          <w:b w:val="0"/>
          <w:i w:val="0"/>
          <w:sz w:val="20"/>
        </w:rPr>
        <w:t xml:space="preserve"> established is a partition: the separating split is </w:t>
      </w:r>
      <w:r>
        <w:rPr>
          <w:rFonts w:ascii="Times New Roman" w:hAnsi="Times New Roman"/>
          <w:b/>
          <w:i w:val="0"/>
          <w:sz w:val="20"/>
        </w:rPr>
        <w:t>1.6 pp</w:t>
      </w:r>
      <w:r>
        <w:rPr>
          <w:rFonts w:ascii="Times New Roman" w:hAnsi="Times New Roman"/>
          <w:b w:val="0"/>
          <w:i w:val="0"/>
          <w:sz w:val="20"/>
        </w:rPr>
        <w:t xml:space="preserve">, below our own noise floor (2.15–6.46 pp),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We present the identities of §3.8 and the appendices as </w:t>
      </w:r>
      <w:r>
        <w:rPr>
          <w:rFonts w:ascii="Times New Roman" w:hAnsi="Times New Roman"/>
          <w:b/>
          <w:i w:val="0"/>
          <w:sz w:val="20"/>
        </w:rPr>
        <w:t>that apparatus</w:t>
      </w:r>
      <w:r>
        <w:rPr>
          <w:rFonts w:ascii="Times New Roman" w:hAnsi="Times New Roman"/>
          <w:b w:val="0"/>
          <w:i w:val="0"/>
          <w:sz w:val="20"/>
        </w:rPr>
        <w:t>, not as findings: they are arithmetic, and their role is that every headline number in this paper can be recomputed from the released records.</w:t>
      </w:r>
    </w:p>
    <w:p>
      <w:r>
        <w:rPr>
          <w:rFonts w:ascii="Times New Roman" w:hAnsi="Times New Roman"/>
          <w:b w:val="0"/>
          <w:i w:val="0"/>
          <w:sz w:val="20"/>
        </w:rPr>
        <w:t>1. **Finding 1 — on dense scenes the aggregate under-count is mostly a suppressed abstention, and the</w:t>
      </w:r>
    </w:p>
    <w:p>
      <w:r>
        <w:rPr>
          <w:rFonts w:ascii="Times New Roman" w:hAnsi="Times New Roman"/>
          <w:b w:val="0"/>
          <w:i w:val="0"/>
          <w:sz w:val="20"/>
        </w:rPr>
        <w:t>suppression is set by the output contract.</w:t>
      </w:r>
      <w:r>
        <w:rPr>
          <w:rFonts w:ascii="Times New Roman" w:hAnsi="Times New Roman"/>
          <w:b/>
          <w:i w:val="0"/>
          <w:sz w:val="20"/>
        </w:rPr>
        <w:t xml:space="preserve"> Within the cells studied here, literal-zero outputs dominate the pooled under-count (§5.5); for InternVL2.5-8B [3] the answered-zero channel covers only 69.69% of abstentions (§3.6, Proposition 7); and </w:t>
      </w:r>
      <w:r>
        <w:rPr>
          <w:rFonts w:ascii="Times New Roman" w:hAnsi="Times New Roman"/>
          <w:b w:val="0"/>
          <w:i w:val="0"/>
          <w:sz w:val="20"/>
        </w:rPr>
        <w:t>the outlet</w:t>
      </w:r>
      <w:r>
        <w:rPr>
          <w:rFonts w:ascii="Times New Roman" w:hAnsi="Times New Roman"/>
          <w:b/>
          <w:i w:val="0"/>
          <w:sz w:val="20"/>
        </w:rPr>
        <w:t xml:space="preserve"> is a property of the serving configuration rather than of the lineage (the </w:t>
      </w:r>
      <w:r>
        <w:rPr>
          <w:rFonts w:ascii="Times New Roman" w:hAnsi="Times New Roman"/>
          <w:b w:val="0"/>
          <w:i w:val="0"/>
          <w:sz w:val="20"/>
        </w:rPr>
        <w:t>rate</w:t>
      </w:r>
      <w:r>
        <w:rPr>
          <w:rFonts w:ascii="Times New Roman" w:hAnsi="Times New Roman"/>
          <w:b/>
          <w:i w:val="0"/>
          <w:sz w:val="20"/>
        </w:rPr>
        <w:t xml:space="preserve"> is not; Appendix M.47) — given an abstention token </w:t>
      </w:r>
      <w:r>
        <w:rPr>
          <w:rFonts w:ascii="Times New Roman" w:hAnsi="Times New Roman"/>
          <w:b w:val="0"/>
          <w:i w:val="0"/>
          <w:sz w:val="20"/>
        </w:rPr>
        <w:t>1591/1591</w:t>
      </w:r>
      <w:r>
        <w:rPr>
          <w:rFonts w:ascii="Times New Roman" w:hAnsi="Times New Roman"/>
          <w:b/>
          <w:i w:val="0"/>
          <w:sz w:val="20"/>
        </w:rPr>
        <w:t xml:space="preserve"> calls abstain, and in a census fixing the stack and varying only the contract, item-level pairing removes the answered zero in </w:t>
      </w:r>
      <w:r>
        <w:rPr>
          <w:rFonts w:ascii="Times New Roman" w:hAnsi="Times New Roman"/>
          <w:b w:val="0"/>
          <w:i w:val="0"/>
          <w:sz w:val="20"/>
        </w:rPr>
        <w:t>46 of 52</w:t>
      </w:r>
      <w:r>
        <w:rPr>
          <w:rFonts w:ascii="Times New Roman" w:hAnsi="Times New Roman"/>
          <w:b/>
          <w:i w:val="0"/>
          <w:sz w:val="20"/>
        </w:rPr>
        <w:t xml:space="preserve"> (model × domain) cells (</w:t>
      </w:r>
      <w:r>
        <w:rPr>
          <w:rFonts w:ascii="Times New Roman" w:hAnsi="Times New Roman"/>
          <w:b w:val="0"/>
          <w:i w:val="0"/>
          <w:sz w:val="20"/>
        </w:rPr>
        <w:t>52 of 52</w:t>
      </w:r>
      <w:r>
        <w:rPr>
          <w:rFonts w:ascii="Times New Roman" w:hAnsi="Times New Roman"/>
          <w:b/>
          <w:i w:val="0"/>
          <w:sz w:val="20"/>
        </w:rPr>
        <w:t xml:space="preserve"> under the three-option contract; M.18.2–M.18.3), while the same grid on </w:t>
      </w:r>
      <w:r>
        <w:rPr>
          <w:rFonts w:ascii="Times New Roman" w:hAnsi="Times New Roman"/>
          <w:b w:val="0"/>
          <w:i w:val="0"/>
          <w:sz w:val="20"/>
        </w:rPr>
        <w:t>seven families — four of them beyond the corpus's own, all unquantised — removes it in 7 of 7</w:t>
      </w:r>
      <w:r>
        <w:rPr>
          <w:rFonts w:ascii="Times New Roman" w:hAnsi="Times New Roman"/>
          <w:b/>
          <w:i w:val="0"/>
          <w:sz w:val="20"/>
        </w:rPr>
        <w:t xml:space="preserve"> (§5.7, M.19), one of the seven having offered only </w:t>
      </w:r>
      <w:r>
        <w:rPr>
          <w:rFonts w:ascii="Times New Roman" w:hAnsi="Times New Roman"/>
          <w:b w:val="0"/>
          <w:i w:val="0"/>
          <w:sz w:val="20"/>
        </w:rPr>
        <w:t>9 zeros</w:t>
      </w:r>
      <w:r>
        <w:rPr>
          <w:rFonts w:ascii="Times New Roman" w:hAnsi="Times New Roman"/>
          <w:b/>
          <w:i w:val="0"/>
          <w:sz w:val="20"/>
        </w:rPr>
        <w:t xml:space="preserve"> to remove. The </w:t>
      </w:r>
      <w:r>
        <w:rPr>
          <w:rFonts w:ascii="Times New Roman" w:hAnsi="Times New Roman"/>
          <w:b w:val="0"/>
          <w:i w:val="0"/>
          <w:sz w:val="20"/>
        </w:rPr>
        <w:t>frequency</w:t>
      </w:r>
      <w:r>
        <w:rPr>
          <w:rFonts w:ascii="Times New Roman" w:hAnsi="Times New Roman"/>
          <w:b/>
          <w:i w:val="0"/>
          <w:sz w:val="20"/>
        </w:rPr>
        <w:t xml:space="preserve"> claim stays bounded: the corpus is dominated by one lineage (§8.2), the dense-scene headline is </w:t>
      </w:r>
      <w:r>
        <w:rPr>
          <w:rFonts w:ascii="Times New Roman" w:hAnsi="Times New Roman"/>
          <w:b w:val="0"/>
          <w:i w:val="0"/>
          <w:sz w:val="20"/>
        </w:rPr>
        <w:t>build-specific</w:t>
      </w:r>
      <w:r>
        <w:rPr>
          <w:rFonts w:ascii="Times New Roman" w:hAnsi="Times New Roman"/>
          <w:b/>
          <w:i w:val="0"/>
          <w:sz w:val="20"/>
        </w:rPr>
        <w:t xml:space="preserve"> (five deployments of one 32B checkpoint differ by up to </w:t>
      </w:r>
      <w:r>
        <w:rPr>
          <w:rFonts w:ascii="Times New Roman" w:hAnsi="Times New Roman"/>
          <w:b w:val="0"/>
          <w:i w:val="0"/>
          <w:sz w:val="20"/>
        </w:rPr>
        <w:t>90.3 pp</w:t>
      </w:r>
      <w:r>
        <w:rPr>
          <w:rFonts w:ascii="Times New Roman" w:hAnsi="Times New Roman"/>
          <w:b/>
          <w:i w:val="0"/>
          <w:sz w:val="20"/>
        </w:rPr>
        <w:t xml:space="preserve">, and on the cross-family grid the share exceeds 50% on </w:t>
      </w:r>
      <w:r>
        <w:rPr>
          <w:rFonts w:ascii="Times New Roman" w:hAnsi="Times New Roman"/>
          <w:b w:val="0"/>
          <w:i w:val="0"/>
          <w:sz w:val="20"/>
        </w:rPr>
        <w:t>one</w:t>
      </w:r>
      <w:r>
        <w:rPr>
          <w:rFonts w:ascii="Times New Roman" w:hAnsi="Times New Roman"/>
          <w:b/>
          <w:i w:val="0"/>
          <w:sz w:val="20"/>
        </w:rPr>
        <w:t xml:space="preserve"> build — the one that defined the pool; M.19.15) and the aerial-scene one </w:t>
      </w:r>
      <w:r>
        <w:rPr>
          <w:rFonts w:ascii="Times New Roman" w:hAnsi="Times New Roman"/>
          <w:b w:val="0"/>
          <w:i w:val="0"/>
          <w:sz w:val="20"/>
        </w:rPr>
        <w:t>domain-specific</w:t>
      </w:r>
      <w:r>
        <w:rPr>
          <w:rFonts w:ascii="Times New Roman" w:hAnsi="Times New Roman"/>
          <w:b/>
          <w:i w:val="0"/>
          <w:sz w:val="20"/>
        </w:rPr>
        <w:t xml:space="preserve"> (</w:t>
      </w:r>
      <w:r>
        <w:rPr>
          <w:rFonts w:ascii="Times New Roman" w:hAnsi="Times New Roman"/>
          <w:b w:val="0"/>
          <w:i w:val="0"/>
          <w:sz w:val="20"/>
        </w:rPr>
        <w:t>2.7–8.7 pp</w:t>
      </w:r>
      <w:r>
        <w:rPr>
          <w:rFonts w:ascii="Times New Roman" w:hAnsi="Times New Roman"/>
          <w:b/>
          <w:i w:val="0"/>
          <w:sz w:val="20"/>
        </w:rPr>
        <w:t xml:space="preserve"> across the same five; M.18.4, M.18.8). §5.12 then shows what a single convention costs: the two conventions reorder the configurations (Spearman </w:t>
      </w:r>
      <w:r>
        <w:rPr>
          <w:rFonts w:ascii="Times New Roman" w:hAnsi="Times New Roman"/>
          <w:b w:val="0"/>
          <w:i w:val="0"/>
          <w:sz w:val="20"/>
        </w:rPr>
        <w:t>0.476–1.000</w:t>
      </w:r>
      <w:r>
        <w:rPr>
          <w:rFonts w:ascii="Times New Roman" w:hAnsi="Times New Roman"/>
          <w:b/>
          <w:i w:val="0"/>
          <w:sz w:val="20"/>
        </w:rPr>
        <w:t xml:space="preserve">) and move one configuration's bias by up to </w:t>
      </w:r>
      <w:r>
        <w:rPr>
          <w:rFonts w:ascii="Times New Roman" w:hAnsi="Times New Roman"/>
          <w:b w:val="0"/>
          <w:i w:val="0"/>
          <w:sz w:val="20"/>
        </w:rPr>
        <w:t>48.2 pp**.</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[17]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 What each result does not cover is in §8.</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 xml:space="preserve">Two families dominate counting: detection-based methods localise instances and count them, while density regression predicts a density map whose integral is the count — the definitional formulation of the field [4]. Comparative work treats them as paradigms with characteristic trade-offs, and magnitude error is the axis on which they are compared; one controlled benchmark organises its probes by complexity [5]. §7.3 adds </w:t>
      </w:r>
      <w:r>
        <w:rPr>
          <w:rFonts w:ascii="Times New Roman" w:hAnsi="Times New Roman"/>
          <w:b/>
          <w:i w:val="0"/>
          <w:sz w:val="20"/>
        </w:rPr>
        <w:t>signed direction</w:t>
      </w:r>
      <w:r>
        <w:rPr>
          <w:rFonts w:ascii="Times New Roman" w:hAnsi="Times New Roman"/>
          <w:b w:val="0"/>
          <w:i w:val="0"/>
          <w:sz w:val="20"/>
        </w:rPr>
        <w:t xml:space="preserve"> to that comparison: a method that systematically over-counts and one that systematically under-counts can otherwise be reported as equivalent, and the paradigm label predicts span far more weakly than the implementation does.</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([6] and successors). A parallel and largely separate literature studies abstention: selective prediction [7], [8], [9], rejection options, abstention benchmarks for multimodal reasoning ([10], [11]), and abstention knobs in video question answering ([12]); and VLM refusal moves with an image's mere presence in ways instructions do not control [13]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abstention is gated by per-instance legibility, not by object count, and is demonstrable in the aerial domains where the dense domains saturate under an explicit abstention contract (Appendix M.18)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[14] and NumerosityVLM [15]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2.</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[16], FSC-147 [17], CountBench [18], TallyQA [19]) [20]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([21]; [22]);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([23]; a hierarchy in [24]) and establishes cross-paradigm counting comparison ([25]);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[26]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 Three boundaries delimit the comparison: dependent variable (accuracy versus signed direction and abstention), data (everyday versus aerial, microscopy and dense-crowd scenes), and contrast design (in-domain versus zero-shot weights, input protocol controlled).</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initially came from single samples. Repeat sampling shows that item-level reproducibility for a hosted API is only about </w:t>
      </w:r>
      <w:r>
        <w:rPr>
          <w:rFonts w:ascii="Times New Roman" w:hAnsi="Times New Roman"/>
          <w:b/>
          <w:i w:val="0"/>
          <w:sz w:val="20"/>
        </w:rPr>
        <w:t>15%</w:t>
      </w:r>
      <w:r>
        <w:rPr>
          <w:rFonts w:ascii="Times New Roman" w:hAnsi="Times New Roman"/>
          <w:b w:val="0"/>
          <w:i w:val="0"/>
          <w:sz w:val="20"/>
        </w:rPr>
        <w:t>, while a locally controlled stack agrees at essentially 100%, and that aggregate quantities are far more stable.</w:t>
      </w:r>
    </w:p>
    <w:p>
      <w:r>
        <w:rPr>
          <w:rFonts w:ascii="Times New Roman" w:hAnsi="Times New Roman"/>
          <w:b w:val="0"/>
          <w:i w:val="0"/>
          <w:sz w:val="20"/>
        </w:rPr>
        <w:t>(Appendix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[27]).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[28].</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 The statistical protocol and the non-determinism declaration are in Appendix A.</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and recent work notes that granularity is usually left implicit ([21]; [22]).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(blur 9.1% vs. downsampling 0.6%, </w:t>
      </w:r>
      <w:r>
        <w:rPr>
          <w:rFonts w:ascii="Times New Roman" w:hAnsi="Times New Roman"/>
          <w:b/>
          <w:i w:val="0"/>
          <w:sz w:val="20"/>
        </w:rPr>
        <w:t>+8.6 pp</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not its headline: it tells a downstream user </w:t>
      </w:r>
      <w:r>
        <w:rPr>
          <w:rFonts w:ascii="Times New Roman" w:hAnsi="Times New Roman"/>
          <w:b w:val="0"/>
          <w:i/>
          <w:sz w:val="20"/>
        </w:rPr>
        <w:t>which images to trust the number on</w:t>
      </w:r>
      <w:r>
        <w:rPr>
          <w:rFonts w:ascii="Times New Roman" w:hAnsi="Times New Roman"/>
          <w:b w:val="0"/>
          <w:i w:val="0"/>
          <w:sz w:val="20"/>
        </w:rPr>
        <w:t xml:space="preserv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 §7.7 states what a deployable rule would have to satisfy; §5.12 shows that the paper's own conclusions do not depend on this variable.</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[17]; CountQA [29] and PushupBench [30]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[31] and AI-TOD [32]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[33] (tiling follows SAHI [34]) with nine variants plus budget × source-domain combinations, zero-shot COCO [35] person detectors under a tiling protocol for the dense end, and two label conventions; Faster R-CNN [36] and RetinaNet [37]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[38] on a self-hosted 4-bit AWQ [39] and GPTQ-W4 [54] stacks cross-checked against a BF16 hosted API, with an 8B scale control, a Qwen2.5-VL-7B [40] generation control and InternVL2.5-8B [3]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[41], CSRNet [42] and DM-Count [43] trained on SFCHD [16],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 xml:space="preserve">Abstention is our leading indicator, so its operationalisation is stated item by item rather than left as "the predicted total is zero". </w:t>
      </w:r>
      <w:r>
        <w:rPr>
          <w:rFonts w:ascii="Times New Roman" w:hAnsi="Times New Roman"/>
          <w:b/>
          <w:i w:val="0"/>
          <w:sz w:val="20"/>
        </w:rPr>
        <w:t>Appendix B</w:t>
      </w:r>
      <w:r>
        <w:rPr>
          <w:rFonts w:ascii="Times New Roman" w:hAnsi="Times New Roman"/>
          <w:b w:val="0"/>
          <w:i w:val="0"/>
          <w:sz w:val="20"/>
        </w:rPr>
        <w:t xml:space="preserve"> carries the full protocol;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lineage-stratified answer.</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1.</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[38]</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bounded rather than merely disclosed</w:t>
      </w:r>
      <w:r>
        <w:rPr>
          <w:rFonts w:ascii="Times New Roman" w:hAnsi="Times New Roman"/>
          <w:b w:val="0"/>
          <w:i w:val="0"/>
          <w:sz w:val="20"/>
        </w:rPr>
        <w:t xml:space="preserve">: by Proposition 7, a lineage with ratio κ identifies the abstention rate only to within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abstention rate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 xml:space="preserve">; the figure and table plan of §3.9 is </w:t>
      </w:r>
      <w:r>
        <w:rPr>
          <w:rFonts w:ascii="Times New Roman" w:hAnsi="Times New Roman"/>
          <w:b/>
          <w:i w:val="0"/>
          <w:sz w:val="20"/>
        </w:rPr>
        <w:t>Appendix D.4</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This is a reporting identity of the same form as the answer-propensity / conditional-composition decomposition we use elsewhere [44]; what is in question is where the movement goes on this corpus, and it is the one behind the </w:t>
      </w:r>
      <w:r>
        <w:rPr>
          <w:rFonts w:ascii="Times New Roman" w:hAnsi="Times New Roman"/>
          <w:b/>
          <w:i w:val="0"/>
          <w:sz w:val="20"/>
        </w:rPr>
        <w:t>82–94%</w:t>
      </w:r>
      <w:r>
        <w:rPr>
          <w:rFonts w:ascii="Times New Roman" w:hAnsi="Times New Roman"/>
          <w:b w:val="0"/>
          <w:i w:val="0"/>
          <w:sz w:val="20"/>
        </w:rPr>
        <w:t xml:space="preserve"> of §5.5 for the </w:t>
      </w:r>
      <w:r>
        <w:rPr>
          <w:rFonts w:ascii="Times New Roman" w:hAnsi="Times New Roman"/>
          <w:b/>
          <w:i w:val="0"/>
          <w:sz w:val="20"/>
        </w:rPr>
        <w:t>base contract arm</w:t>
      </w:r>
      <w:r>
        <w:rPr>
          <w:rFonts w:ascii="Times New Roman" w:hAnsi="Times New Roman"/>
          <w:b w:val="0"/>
          <w:i w:val="0"/>
          <w:sz w:val="20"/>
        </w:rPr>
        <w:t>.</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the aerial pool S-1, and only one </w:t>
      </w:r>
      <w:r>
        <w:rPr>
          <w:rFonts w:ascii="Times New Roman" w:hAnsi="Times New Roman"/>
          <w:b/>
          <w:i w:val="0"/>
          <w:sz w:val="20"/>
        </w:rPr>
        <w:t>build</w:t>
      </w:r>
      <w:r>
        <w:rPr>
          <w:rFonts w:ascii="Times New Roman" w:hAnsi="Times New Roman"/>
          <w:b w:val="0"/>
          <w:i w:val="0"/>
          <w:sz w:val="20"/>
        </w:rPr>
        <w:t xml:space="preserve"> has headroom in both pools — </w:t>
      </w:r>
      <w:r>
        <w:rPr>
          <w:rFonts w:ascii="Times New Roman" w:hAnsi="Times New Roman"/>
          <w:b/>
          <w:i w:val="0"/>
          <w:sz w:val="20"/>
        </w:rPr>
        <w:t>whereas the anchored build still answers zero on 146 of 150</w:t>
      </w:r>
      <w:r>
        <w:rPr>
          <w:rFonts w:ascii="Times New Roman" w:hAnsi="Times New Roman"/>
          <w:b w:val="0"/>
          <w:i w:val="0"/>
          <w:sz w:val="20"/>
        </w:rPr>
        <w:t xml:space="preserve"> of the second pool's items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appear where their claim is stated; the list is in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It is a usable availability test, </w:t>
      </w:r>
      <w:r>
        <w:rPr>
          <w:rFonts w:ascii="Times New Roman" w:hAnsi="Times New Roman"/>
          <w:b/>
          <w:i w:val="0"/>
          <w:sz w:val="20"/>
        </w:rPr>
        <w:t>not</w:t>
      </w:r>
      <w:r>
        <w:rPr>
          <w:rFonts w:ascii="Times New Roman" w:hAnsi="Times New Roman"/>
          <w:b w:val="0"/>
          <w:i w:val="0"/>
          <w:sz w:val="20"/>
        </w:rPr>
        <w:t xml:space="preserve"> a predictor of how large the span will be (§7.3).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 This converts an unexplained ceiling into a design rule.</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4</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[45]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r>
        <w:rPr>
          <w:rFonts w:ascii="Times New Roman" w:hAnsi="Times New Roman"/>
          <w:b w:val="0"/>
          <w:i w:val="0"/>
          <w:sz w:val="20"/>
        </w:rPr>
        <w:t>(Appendix E)</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 The dense and aerial domains, where the effects of interest live, are the subject of the remaining subsections.</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 The consequence is the one stated in §3.2: numbers are not comparable across studies unless the target granularity is declared.</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lineage</w:t>
      </w:r>
      <w:r>
        <w:rPr>
          <w:rFonts w:ascii="Times New Roman" w:hAnsi="Times New Roman"/>
          <w:b w:val="0"/>
          <w:i w:val="0"/>
          <w:sz w:val="20"/>
        </w:rPr>
        <w:t xml:space="preserve">. </w:t>
      </w:r>
      <w:r>
        <w:rPr>
          <w:rFonts w:ascii="Times New Roman" w:hAnsi="Times New Roman"/>
          <w:b/>
          <w:i w:val="0"/>
          <w:sz w:val="20"/>
        </w:rPr>
        <w:t>This is the quantitative core of the paper's central claim: the received description "VLMs underestimate dense scenes" is mostly a description of refusals.</w:t>
      </w:r>
      <w:r>
        <w:rPr>
          <w:rFonts w:ascii="Times New Roman" w:hAnsi="Times New Roman"/>
          <w:b w:val="0"/>
          <w:i w:val="0"/>
          <w:sz w:val="20"/>
        </w:rPr>
        <w:t xml:space="preserve"> (Appendix M.9)</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(unweighted)</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(Terms are pp of the pooled relative deviation and sum to it exactly; S is the ground-truth-weighted share and the last column the same abstention term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(§8.1).</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43%</w:t>
      </w:r>
      <w:r>
        <w:rPr>
          <w:rFonts w:ascii="Times New Roman" w:hAnsi="Times New Roman"/>
          <w:b w:val="0"/>
          <w:i w:val="0"/>
          <w:sz w:val="20"/>
        </w:rPr>
        <w:t xml:space="preserve"> — a floor set by the reporting stage, not by perception.</w:t>
      </w:r>
    </w:p>
    <w:p>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Appendix M gives all 48 cells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2).</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43%</w:t>
      </w:r>
      <w:r>
        <w:rPr>
          <w:rFonts w:ascii="Times New Roman" w:hAnsi="Times New Roman"/>
          <w:b w:val="0"/>
          <w:i w:val="0"/>
          <w:sz w:val="20"/>
        </w:rPr>
        <w:t xml:space="preserve">; in microscopy (BBBC005 [46])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t>
      </w:r>
      <w:r>
        <w:rPr>
          <w:rFonts w:ascii="Times New Roman" w:hAnsi="Times New Roman"/>
          <w:b/>
          <w:i w:val="0"/>
          <w:sz w:val="20"/>
        </w:rPr>
        <w:t>Legibility decides *whether* to answer, not *which way* to be wrong.</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and compared on that intersection, so that no rank difference can come from different denominators (the three quantities and the denominator are defined in Appendix M.21) — the convention changes how large a configuration's measured bias appears, and in the dense domains changes the order:</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[17]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On this benchmark the convention moves magnitudes, not the ranking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w:t>
      </w:r>
      <w:r>
        <w:rPr>
          <w:rFonts w:ascii="Times New Roman" w:hAnsi="Times New Roman"/>
          <w:b w:val="0"/>
          <w:i w:val="0"/>
          <w:sz w:val="20"/>
        </w:rPr>
        <w:t>, 1 inversion of 36) — the same asymmetry §5.12 reports for the decision forms. Its sensitivity to the input scale is bounded in Appendix M.41.</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(four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no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val="0"/>
          <w:i w:val="0"/>
          <w:sz w:val="20"/>
        </w:rPr>
        <w:t xml:space="preserve">F.9 is an illustration only; the load-bearing ordering evidence is the </w:t>
      </w:r>
      <w:r>
        <w:rPr>
          <w:rFonts w:ascii="Times New Roman" w:hAnsi="Times New Roman"/>
          <w:b/>
          <w:i w:val="0"/>
          <w:sz w:val="20"/>
        </w:rPr>
        <w:t>recomputable</w:t>
      </w:r>
      <w:r>
        <w:rPr>
          <w:rFonts w:ascii="Times New Roman" w:hAnsi="Times New Roman"/>
          <w:b w:val="0"/>
          <w:i w:val="0"/>
          <w:sz w:val="20"/>
        </w:rPr>
        <w:t xml:space="preserve"> set of Appendix M.37.</w:t>
      </w:r>
    </w:p>
    <w:p>
      <w:r>
        <w:rPr>
          <w:rFonts w:ascii="Times New Roman" w:hAnsi="Times New Roman"/>
          <w:b/>
          <w:i w:val="0"/>
          <w:sz w:val="20"/>
        </w:rPr>
        <w:t>The ordering is stable under the two obvious deflations, and we report it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 label-permutation test gives p&lt;5×10^-5; leaving out any single knob keeps it at </w:t>
      </w:r>
      <w:r>
        <w:rPr>
          <w:rFonts w:ascii="Times New Roman" w:hAnsi="Times New Roman"/>
          <w:b/>
          <w:i w:val="0"/>
          <w:sz w:val="20"/>
        </w:rPr>
        <w:t>0.883–0.970</w:t>
      </w:r>
      <w:r>
        <w:rPr>
          <w:rFonts w:ascii="Times New Roman" w:hAnsi="Times New Roman"/>
          <w:b w:val="0"/>
          <w:i w:val="0"/>
          <w:sz w:val="20"/>
        </w:rPr>
        <w:t xml:space="preserve">; per-unit spans with their own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w:t>
      </w:r>
      <w:r>
        <w:rPr>
          <w:rFonts w:ascii="Times New Roman" w:hAnsi="Times New Roman"/>
          <w:b/>
          <w:i w:val="0"/>
          <w:sz w:val="20"/>
        </w:rPr>
        <w:t>not</w:t>
      </w:r>
      <w:r>
        <w:rPr>
          <w:rFonts w:ascii="Times New Roman" w:hAnsi="Times New Roman"/>
          <w:b w:val="0"/>
          <w:i w:val="0"/>
          <w:sz w:val="20"/>
        </w:rPr>
        <w:t xml:space="preserve">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0.548</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 per-unit being the extreme case;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per-knob </w:t>
      </w:r>
      <w:r>
        <w:rPr>
          <w:rFonts w:ascii="Times New Roman" w:hAnsi="Times New Roman"/>
          <w:b/>
          <w:i w:val="0"/>
          <w:sz w:val="20"/>
        </w:rPr>
        <w:t>0.790</w:t>
      </w:r>
      <w:r>
        <w:rPr>
          <w:rFonts w:ascii="Times New Roman" w:hAnsi="Times New Roman"/>
          <w:b w:val="0"/>
          <w:i w:val="0"/>
          <w:sz w:val="20"/>
        </w:rPr>
        <w:t xml:space="preserve">, per-unit </w:t>
      </w:r>
      <w:r>
        <w:rPr>
          <w:rFonts w:ascii="Times New Roman" w:hAnsi="Times New Roman"/>
          <w:b/>
          <w:i w:val="0"/>
          <w:sz w:val="20"/>
        </w:rPr>
        <w:t>0.536</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while equal-count gridding leaves spans unchanged (median retention </w:t>
      </w:r>
      <w:r>
        <w:rPr>
          <w:rFonts w:ascii="Times New Roman" w:hAnsi="Times New Roman"/>
          <w:b/>
          <w:i w:val="0"/>
          <w:sz w:val="20"/>
        </w:rPr>
        <w:t>1.00</w:t>
      </w:r>
      <w:r>
        <w:rPr>
          <w:rFonts w:ascii="Times New Roman" w:hAnsi="Times New Roman"/>
          <w:b w:val="0"/>
          <w:i w:val="0"/>
          <w:sz w:val="20"/>
        </w:rPr>
        <w:t xml:space="preserve">). </w:t>
      </w:r>
      <w:r>
        <w:rPr>
          <w:rFonts w:ascii="Times New Roman" w:hAnsi="Times New Roman"/>
          <w:b/>
          <w:i w:val="0"/>
          <w:sz w:val="20"/>
        </w:rPr>
        <w:t xml:space="preserve">We searched for a scale-free form of the span — equal-count gridding, endpoint removal, and all three calibration families of M.37 — and found none that makes cross-knob magnitudes invariant; the ordering is what survives the first two of these deflations — and it also survives normalising each span by its knob's relative travel (Appendix F.10; </w:t>
      </w:r>
      <w:r>
        <w:rPr>
          <w:rFonts w:ascii="Times New Roman" w:hAnsi="Times New Roman"/>
          <w:b w:val="0"/>
          <w:i w:val="0"/>
          <w:sz w:val="20"/>
        </w:rPr>
        <w:t>M.42</w:t>
      </w:r>
      <w:r>
        <w:rPr>
          <w:rFonts w:ascii="Times New Roman" w:hAnsi="Times New Roman"/>
          <w:b/>
          <w:i w:val="0"/>
          <w:sz w:val="20"/>
        </w:rPr>
        <w:t>–</w:t>
      </w:r>
      <w:r>
        <w:rPr>
          <w:rFonts w:ascii="Times New Roman" w:hAnsi="Times New Roman"/>
          <w:b w:val="0"/>
          <w:i w:val="0"/>
          <w:sz w:val="20"/>
        </w:rPr>
        <w:t>M.45</w:t>
      </w:r>
      <w:r>
        <w:rPr>
          <w:rFonts w:ascii="Times New Roman" w:hAnsi="Times New Roman"/>
          <w:b/>
          <w:i w:val="0"/>
          <w:sz w:val="20"/>
        </w:rPr>
        <w:t>).</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t>
      </w:r>
      <w:r>
        <w:rPr>
          <w:rFonts w:ascii="Times New Roman" w:hAnsi="Times New Roman"/>
          <w:b/>
          <w:i w:val="0"/>
          <w:sz w:val="20"/>
        </w:rPr>
        <w:t>rank knobs by this ordering, and quote a magnitude only with the grid density and the calibration caliber that produced it.</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The per-arm numbers quoted below are labelled by (model × domain × contract arm × convention) in Appendix G.1; each is a pooled relative deviation on the common item intersection.</w:t>
      </w:r>
    </w:p>
    <w:p>
      <w:r>
        <w:rPr>
          <w:rFonts w:ascii="Times New Roman" w:hAnsi="Times New Roman"/>
          <w:b w:val="0"/>
          <w:i w:val="0"/>
          <w:sz w:val="20"/>
        </w:rPr>
        <w:t xml:space="preserve">Two facts survive.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([47]–[48]).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we also state the </w:t>
      </w:r>
      <w:r>
        <w:rPr>
          <w:rFonts w:ascii="Times New Roman" w:hAnsi="Times New Roman"/>
          <w:b/>
          <w:i w:val="0"/>
          <w:sz w:val="20"/>
        </w:rPr>
        <w:t>adoption recipe</w:t>
      </w:r>
      <w:r>
        <w:rPr>
          <w:rFonts w:ascii="Times New Roman" w:hAnsi="Times New Roman"/>
          <w:b w:val="0"/>
          <w:i w:val="0"/>
          <w:sz w:val="20"/>
        </w:rPr>
        <w:t xml:space="preserve"> a third party can follow with no annotation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a quality signal has to come from outside the answers (Appendix M.23). (Appendix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(Appendix M.22). In a first independent use it was run, unchanged, on two corpora whose recipe residual had never been reported — including a large unconstrained dense-crowd release (JHU-CROWD++ [55])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disclosed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are itemised there, one of them a dead parse branch; </w:t>
      </w:r>
      <w:r>
        <w:rPr>
          <w:rFonts w:ascii="Times New Roman" w:hAnsi="Times New Roman"/>
          <w:b/>
          <w:i w:val="0"/>
          <w:sz w:val="20"/>
        </w:rPr>
        <w:t>Run-to-run non-determinism</w:t>
      </w:r>
      <w:r>
        <w:rPr>
          <w:rFonts w:ascii="Times New Roman" w:hAnsi="Times New Roman"/>
          <w:b w:val="0"/>
          <w:i w:val="0"/>
          <w:sz w:val="20"/>
        </w:rPr>
        <w:t xml:space="preserve"> is characterised below and quantified with the two numbers a reader needs; </w:t>
      </w:r>
      <w:r>
        <w:rPr>
          <w:rFonts w:ascii="Times New Roman" w:hAnsi="Times New Roman"/>
          <w:b/>
          <w:i w:val="0"/>
          <w:sz w:val="20"/>
        </w:rPr>
        <w:t>Graded isolation</w:t>
      </w:r>
      <w:r>
        <w:rPr>
          <w:rFonts w:ascii="Times New Roman" w:hAnsi="Times New Roman"/>
          <w:b w:val="0"/>
          <w:i w:val="0"/>
          <w:sz w:val="20"/>
        </w:rPr>
        <w:t xml:space="preserve"> carries a residue ledger; </w:t>
      </w:r>
      <w:r>
        <w:rPr>
          <w:rFonts w:ascii="Times New Roman" w:hAnsi="Times New Roman"/>
          <w:b/>
          <w:i w:val="0"/>
          <w:sz w:val="20"/>
        </w:rPr>
        <w:t>a census of anomalous predictions</w:t>
      </w:r>
      <w:r>
        <w:rPr>
          <w:rFonts w:ascii="Times New Roman" w:hAnsi="Times New Roman"/>
          <w:b w:val="0"/>
          <w:i w:val="0"/>
          <w:sz w:val="20"/>
        </w:rPr>
        <w:t xml:space="preserve"> records what the graded tiers hold; </w:t>
      </w:r>
      <w:r>
        <w:rPr>
          <w:rFonts w:ascii="Times New Roman" w:hAnsi="Times New Roman"/>
          <w:b/>
          <w:i w:val="0"/>
          <w:sz w:val="20"/>
        </w:rPr>
        <w:t>No attention-based criterion</w:t>
      </w:r>
      <w:r>
        <w:rPr>
          <w:rFonts w:ascii="Times New Roman" w:hAnsi="Times New Roman"/>
          <w:b w:val="0"/>
          <w:i w:val="0"/>
          <w:sz w:val="20"/>
        </w:rPr>
        <w:t xml:space="preserve"> is available to us; and </w:t>
      </w:r>
      <w:r>
        <w:rPr>
          <w:rFonts w:ascii="Times New Roman" w:hAnsi="Times New Roman"/>
          <w:b/>
          <w:i w:val="0"/>
          <w:sz w:val="20"/>
        </w:rPr>
        <w:t>Per-cell intervals are lower bounds</w:t>
      </w:r>
      <w:r>
        <w:rPr>
          <w:rFonts w:ascii="Times New Roman" w:hAnsi="Times New Roman"/>
          <w:b w:val="0"/>
          <w:i w:val="0"/>
          <w:sz w:val="20"/>
        </w:rPr>
        <w:t xml:space="preserve">, because where a cell has few levels the across-repeat term can </w:t>
      </w:r>
      <w:r>
        <w:rPr>
          <w:rFonts w:ascii="Times New Roman" w:hAnsi="Times New Roman"/>
          <w:b/>
          <w:i w:val="0"/>
          <w:sz w:val="20"/>
        </w:rPr>
        <w:t>exceed the interval width itself</w:t>
      </w:r>
      <w:r>
        <w:rPr>
          <w:rFonts w:ascii="Times New Roman" w:hAnsi="Times New Roman"/>
          <w:b w:val="0"/>
          <w:i w:val="0"/>
          <w:sz w:val="20"/>
        </w:rPr>
        <w:t xml:space="preserve"> — by roughly a factor of two (§A.2). Their measures are the ones §3.7 and §5.1 apply, and none of the aggregates above depends on the affected runs. The two numbers a reader needs stay here: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[49], [50] and for evaluation harnesses [51], [52].</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We did not measure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we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 its </w:t>
      </w:r>
      <w:r>
        <w:rPr>
          <w:rFonts w:ascii="Times New Roman" w:hAnsi="Times New Roman"/>
          <w:b/>
          <w:i w:val="0"/>
          <w:sz w:val="20"/>
        </w:rPr>
        <w:t>384-px</w:t>
      </w:r>
      <w:r>
        <w:rPr>
          <w:rFonts w:ascii="Times New Roman" w:hAnsi="Times New Roman"/>
          <w:b w:val="0"/>
          <w:i w:val="0"/>
          <w:sz w:val="20"/>
        </w:rPr>
        <w:t xml:space="preserve"> input resolution is the release's own short-side constraint, and </w:t>
      </w:r>
      <w:r>
        <w:rPr>
          <w:rFonts w:ascii="Times New Roman" w:hAnsi="Times New Roman"/>
          <w:b/>
          <w:i w:val="0"/>
          <w:sz w:val="20"/>
        </w:rPr>
        <w:t>Appendix M.41</w:t>
      </w:r>
      <w:r>
        <w:rPr>
          <w:rFonts w:ascii="Times New Roman" w:hAnsi="Times New Roman"/>
          <w:b w:val="0"/>
          <w:i w:val="0"/>
          <w:sz w:val="20"/>
        </w:rPr>
        <w:t xml:space="preserve"> varies it: the contract arms move ≤ </w:t>
      </w:r>
      <w:r>
        <w:rPr>
          <w:rFonts w:ascii="Times New Roman" w:hAnsi="Times New Roman"/>
          <w:b/>
          <w:i w:val="0"/>
          <w:sz w:val="20"/>
        </w:rPr>
        <w:t>2.0 pp</w:t>
      </w:r>
      <w:r>
        <w:rPr>
          <w:rFonts w:ascii="Times New Roman" w:hAnsi="Times New Roman"/>
          <w:b w:val="0"/>
          <w:i w:val="0"/>
          <w:sz w:val="20"/>
        </w:rPr>
        <w:t xml:space="preserve">, the exemplar arm's abstention by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a single step; and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offering an explicit abstention option produced </w:t>
      </w:r>
      <w:r>
        <w:rPr>
          <w:rFonts w:ascii="Times New Roman" w:hAnsi="Times New Roman"/>
          <w:b/>
          <w:i w:val="0"/>
          <w:sz w:val="20"/>
        </w:rPr>
        <w:t>1591 of 1591</w:t>
      </w:r>
      <w:r>
        <w:rPr>
          <w:rFonts w:ascii="Times New Roman" w:hAnsi="Times New Roman"/>
          <w:b w:val="0"/>
          <w:i w:val="0"/>
          <w:sz w:val="20"/>
        </w:rPr>
        <w:t xml:space="preserve"> explicit abstentions and no zeros on the items the corpus had answered 0.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the same instrument on seven families removes the answered zero in </w:t>
      </w:r>
      <w:r>
        <w:rPr>
          <w:rFonts w:ascii="Times New Roman" w:hAnsi="Times New Roman"/>
          <w:b/>
          <w:i w:val="0"/>
          <w:sz w:val="20"/>
        </w:rPr>
        <w:t>7 of 7</w:t>
      </w:r>
      <w:r>
        <w:rPr>
          <w:rFonts w:ascii="Times New Roman" w:hAnsi="Times New Roman"/>
          <w:b w:val="0"/>
          <w:i w:val="0"/>
          <w:sz w:val="20"/>
        </w:rPr>
        <w:t xml:space="preserve"> on the (one family offered only </w:t>
      </w:r>
      <w:r>
        <w:rPr>
          <w:rFonts w:ascii="Times New Roman" w:hAnsi="Times New Roman"/>
          <w:b/>
          <w:i w:val="0"/>
          <w:sz w:val="20"/>
        </w:rPr>
        <w:t>9</w:t>
      </w:r>
      <w:r>
        <w:rPr>
          <w:rFonts w:ascii="Times New Roman" w:hAnsi="Times New Roman"/>
          <w:b w:val="0"/>
          <w:i w:val="0"/>
          <w:sz w:val="20"/>
        </w:rPr>
        <w:t xml:space="preserve"> zeros to replace, so its interval is uninformative) corpus domains (§5.7) and in </w:t>
      </w:r>
      <w:r>
        <w:rPr>
          <w:rFonts w:ascii="Times New Roman" w:hAnsi="Times New Roman"/>
          <w:b/>
          <w:i w:val="0"/>
          <w:sz w:val="20"/>
        </w:rPr>
        <w:t>8 of 9 configurations</w:t>
      </w:r>
      <w:r>
        <w:rPr>
          <w:rFonts w:ascii="Times New Roman" w:hAnsi="Times New Roman"/>
          <w:b w:val="0"/>
          <w:i w:val="0"/>
          <w:sz w:val="20"/>
        </w:rPr>
        <w:t xml:space="preserve"> on the public benchmark FSC-147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(Appendix M.39). The shares of §5.5 are therefore scoped to the prompt language and build measured here.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from the same experiment: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reported as unmeasured rather than clipped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18–22 pp (Appendix M.19.16).</w:t>
      </w:r>
    </w:p>
    <w:p>
      <w:r>
        <w:rPr>
          <w:rFonts w:ascii="Times New Roman" w:hAnsi="Times New Roman"/>
          <w:b/>
          <w:i w:val="0"/>
          <w:sz w:val="20"/>
        </w:rPr>
        <w:t>Domain composition is not systematic</w:t>
      </w:r>
      <w:r>
        <w:rPr>
          <w:rFonts w:ascii="Times New Roman" w:hAnsi="Times New Roman"/>
          <w:b w:val="0"/>
          <w:i w:val="0"/>
          <w:sz w:val="20"/>
        </w:rPr>
        <w:t>: the nine datasets were assembled to span a legibility range rather than sampled from a stated population, so domain-level statements describe these domains and are not estimates over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the separated-cluster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together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Together they are a </w:t>
      </w:r>
      <w:r>
        <w:rPr>
          <w:rFonts w:ascii="Times New Roman" w:hAnsi="Times New Roman"/>
          <w:b/>
          <w:i w:val="0"/>
          <w:sz w:val="20"/>
        </w:rPr>
        <w:t>reporting template</w:t>
      </w:r>
      <w:r>
        <w:rPr>
          <w:rFonts w:ascii="Times New Roman" w:hAnsi="Times New Roman"/>
          <w:b w:val="0"/>
          <w:i w:val="0"/>
          <w:sz w:val="20"/>
        </w:rPr>
        <w:t xml:space="preserve"> auditable in one serving session (§5.13, M.22). The spectrum replicates in its </w:t>
      </w:r>
      <w:r>
        <w:rPr>
          <w:rFonts w:ascii="Times New Roman" w:hAnsi="Times New Roman"/>
          <w:b/>
          <w:i w:val="0"/>
          <w:sz w:val="20"/>
        </w:rPr>
        <w:t>ordering</w:t>
      </w:r>
      <w:r>
        <w:rPr>
          <w:rFonts w:ascii="Times New Roman" w:hAnsi="Times New Roman"/>
          <w:b w:val="0"/>
          <w:i w:val="0"/>
          <w:sz w:val="20"/>
        </w:rPr>
        <w:t xml:space="preserve">, not its magnitudes: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and the boundary is quantitative: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by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spread, share and variance contrasts behind that boundary are reported once, with their intervals and their reading,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publicly under CC BY 4.0, with a per-file MD5 manifest.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Zhang, Y., Zhou, D., Chen, S., Gao, S., Ma, Y. Single-Image Crowd Counting via Multi-Column Convolutional Neural Network. CVPR 2016. https://doi.org/10.1109/CVPR.2016.70.</w:t>
      </w:r>
    </w:p>
    <w:p>
      <w:r>
        <w:rPr>
          <w:rFonts w:ascii="Times New Roman" w:hAnsi="Times New Roman"/>
          <w:b w:val="0"/>
          <w:i w:val="0"/>
          <w:sz w:val="20"/>
        </w:rPr>
        <w:t>3. Chen, Z., Wang, W., Cao, Y., et al. Expanding Performance Boundaries of Open-Source Multimodal Models with Model, Data, and Test-Time Scaling. preprint arXiv:2412.05271, 2024.</w:t>
      </w:r>
    </w:p>
    <w:p>
      <w:r>
        <w:rPr>
          <w:rFonts w:ascii="Times New Roman" w:hAnsi="Times New Roman"/>
          <w:b w:val="0"/>
          <w:i w:val="0"/>
          <w:sz w:val="20"/>
        </w:rPr>
        <w:t>4. Lempitsky, V., Zisserman, A. Learning To Count Objects in Images. NIPS 2010.</w:t>
      </w:r>
    </w:p>
    <w:p>
      <w:r>
        <w:rPr>
          <w:rFonts w:ascii="Times New Roman" w:hAnsi="Times New Roman"/>
          <w:b w:val="0"/>
          <w:i w:val="0"/>
          <w:sz w:val="20"/>
        </w:rPr>
        <w:t>5. Chen, Y.-Y., Guo, L.-Z. TriViewBench: Controlled Complexity Scaling for Multi-View Structural Reasoning in MLLMs. preprint arXiv:2606.26029, 2026.</w:t>
      </w:r>
    </w:p>
    <w:p>
      <w:r>
        <w:rPr>
          <w:rFonts w:ascii="Times New Roman" w:hAnsi="Times New Roman"/>
          <w:b w:val="0"/>
          <w:i w:val="0"/>
          <w:sz w:val="20"/>
        </w:rPr>
        <w:t>6.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7.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8. Chow, C. K. On optimum recognition error and reject tradeoff. IEEE Trans. Inf. Theory 16 (1970) 41-46. https://doi.org/10.1109/TIT.1970.1054406.</w:t>
      </w:r>
    </w:p>
    <w:p>
      <w:r>
        <w:rPr>
          <w:rFonts w:ascii="Times New Roman" w:hAnsi="Times New Roman"/>
          <w:b w:val="0"/>
          <w:i w:val="0"/>
          <w:sz w:val="20"/>
        </w:rPr>
        <w:t>9. Hendrycks, D., Gimpel, K. A Baseline for Detecting Misclassified and Out-of-Distribution Examples in Neural Networks. preprint arXiv:1610.02136, 2016.</w:t>
      </w:r>
    </w:p>
    <w:p>
      <w:r>
        <w:rPr>
          <w:rFonts w:ascii="Times New Roman" w:hAnsi="Times New Roman"/>
          <w:b w:val="0"/>
          <w:i w:val="0"/>
          <w:sz w:val="20"/>
        </w:rPr>
        <w:t>10. Madhusudhan, N., Yadav, V., Lacoste, A. Knowing When Not to Answer: Evaluating Abstention in Multimodal Reasoning Systems. preprint arXiv:2604.14799, 2026.</w:t>
      </w:r>
    </w:p>
    <w:p>
      <w:r>
        <w:rPr>
          <w:rFonts w:ascii="Times New Roman" w:hAnsi="Times New Roman"/>
          <w:b w:val="0"/>
          <w:i w:val="0"/>
          <w:sz w:val="20"/>
        </w:rPr>
        <w:t>11. Pramono, F., Cai, J., Kulkarni, S. TRAPSBench: Vision-Language Models Encode but Fail to Express Epistemic Restraint. COLM 2026. preprint arXiv:2608.13167.</w:t>
      </w:r>
    </w:p>
    <w:p>
      <w:r>
        <w:rPr>
          <w:rFonts w:ascii="Times New Roman" w:hAnsi="Times New Roman"/>
          <w:b w:val="0"/>
          <w:i w:val="0"/>
          <w:sz w:val="20"/>
        </w:rPr>
        <w:t>12. Ortiz, J. Explicit Abstention Knobs for Predictable Reliability in Video Question Answering. preprint arXiv:2601.00138, 2025.</w:t>
      </w:r>
    </w:p>
    <w:p>
      <w:r>
        <w:rPr>
          <w:rFonts w:ascii="Times New Roman" w:hAnsi="Times New Roman"/>
          <w:b w:val="0"/>
          <w:i w:val="0"/>
          <w:sz w:val="20"/>
        </w:rPr>
        <w:t>13. Zhang, H., Feng, Y., Zheng, S., et al. The Uncontrolled Variable: Vision-Language Model Refusal Responds to Image Presence in Ways Risk Cannot Explain. preprint arXiv:2609.26174, 2026.</w:t>
      </w:r>
    </w:p>
    <w:p>
      <w:r>
        <w:rPr>
          <w:rFonts w:ascii="Times New Roman" w:hAnsi="Times New Roman"/>
          <w:b w:val="0"/>
          <w:i w:val="0"/>
          <w:sz w:val="20"/>
        </w:rPr>
        <w:t>14.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15. Fu, Y., Li, F., Liu, X., et al. NumerosityVLM: A Cognitively Inspired Benchmark for Interpreting Numerosity Representations in VLMs. preprint arXiv:2608.15425, 2026.</w:t>
      </w:r>
    </w:p>
    <w:p>
      <w:r>
        <w:rPr>
          <w:rFonts w:ascii="Times New Roman" w:hAnsi="Times New Roman"/>
          <w:b w:val="0"/>
          <w:i w:val="0"/>
          <w:sz w:val="20"/>
        </w:rPr>
        <w:t>16. Yu, F.-S., Li, J., Wang, X., et al. Large, Complex, and Realistic Safety Clothing and Helmet Detection: Dataset and Method. preprint arXiv:2306.02098, 2023.</w:t>
      </w:r>
    </w:p>
    <w:p>
      <w:r>
        <w:rPr>
          <w:rFonts w:ascii="Times New Roman" w:hAnsi="Times New Roman"/>
          <w:b w:val="0"/>
          <w:i w:val="0"/>
          <w:sz w:val="20"/>
        </w:rPr>
        <w:t>17. Ranjan, V., Sharma, U., Nguyen, T., Hoai, M. Learning To Count Everything. CVPR 2021. preprint arXiv:2104.08391.</w:t>
      </w:r>
    </w:p>
    <w:p>
      <w:r>
        <w:rPr>
          <w:rFonts w:ascii="Times New Roman" w:hAnsi="Times New Roman"/>
          <w:b w:val="0"/>
          <w:i w:val="0"/>
          <w:sz w:val="20"/>
        </w:rPr>
        <w:t>18. Paiss, R., Ephrat, A., Tov, O., et al. Teaching CLIP to Count to Ten. ICCV 2023. https://doi.org/10.1109/ICCV51070.2023.00294.</w:t>
      </w:r>
    </w:p>
    <w:p>
      <w:r>
        <w:rPr>
          <w:rFonts w:ascii="Times New Roman" w:hAnsi="Times New Roman"/>
          <w:b w:val="0"/>
          <w:i w:val="0"/>
          <w:sz w:val="20"/>
        </w:rPr>
        <w:t>19. Acharya, M., Kafle, K., Kanan, C. TallyQA: Answering Complex Counting Questions. AAAI 2019. https://doi.org/10.1609/AAAI.V33I01.33018076.</w:t>
      </w:r>
    </w:p>
    <w:p>
      <w:r>
        <w:rPr>
          <w:rFonts w:ascii="Times New Roman" w:hAnsi="Times New Roman"/>
          <w:b w:val="0"/>
          <w:i w:val="0"/>
          <w:sz w:val="20"/>
        </w:rPr>
        <w:t>20. Djukic, N., Lukezic, A., Zavrtanik, V., et al. A Low-Shot Object Counting Network With Iterative Prototype Adaptation. ICCV 2023. preprint arXiv:2211.08217.</w:t>
      </w:r>
    </w:p>
    <w:p>
      <w:r>
        <w:rPr>
          <w:rFonts w:ascii="Times New Roman" w:hAnsi="Times New Roman"/>
          <w:b w:val="0"/>
          <w:i w:val="0"/>
          <w:sz w:val="20"/>
        </w:rPr>
        <w:t>21. Liu, C., Wu, H., Xie, W. Count Anything at Any Granularity. preprint arXiv:2605.10887, 2026.</w:t>
      </w:r>
    </w:p>
    <w:p>
      <w:r>
        <w:rPr>
          <w:rFonts w:ascii="Times New Roman" w:hAnsi="Times New Roman"/>
          <w:b w:val="0"/>
          <w:i w:val="0"/>
          <w:sz w:val="20"/>
        </w:rPr>
        <w:t>22. Huang, Z., Dai, M., Zhang, Y., et al. Point, Segment and Count: A Generalized Framework for Object Counting. CVPR 2024. preprint arXiv:2311.12386.</w:t>
      </w:r>
    </w:p>
    <w:p>
      <w:r>
        <w:rPr>
          <w:rFonts w:ascii="Times New Roman" w:hAnsi="Times New Roman"/>
          <w:b w:val="0"/>
          <w:i w:val="0"/>
          <w:sz w:val="20"/>
        </w:rPr>
        <w:t>23. El-Shangiti, A., Nurgazy, A., AlQuabeh, H., et al. The Count Is There, but Misaligned: Understanding and Correcting Counting Failures in VLMs. preprint arXiv:2607.09544, 2026.</w:t>
      </w:r>
    </w:p>
    <w:p>
      <w:r>
        <w:rPr>
          <w:rFonts w:ascii="Times New Roman" w:hAnsi="Times New Roman"/>
          <w:b w:val="0"/>
          <w:i w:val="0"/>
          <w:sz w:val="20"/>
        </w:rPr>
        <w:t>24. Anh, D., Irawan, P., Vo, T. Counting to Four is still a Chore for VLMs. preprint arXiv:2604.10039, 2026.</w:t>
      </w:r>
    </w:p>
    <w:p>
      <w:r>
        <w:rPr>
          <w:rFonts w:ascii="Times New Roman" w:hAnsi="Times New Roman"/>
          <w:b w:val="0"/>
          <w:i w:val="0"/>
          <w:sz w:val="20"/>
        </w:rPr>
        <w:t>25. Nguyen, G., Huang, Y., Hoai, M. Can Current AI Models Count What We Mean, Not What They See? A Benchmark and Systematic Evaluation (PairTally). preprint arXiv:2509.13939, 2025.</w:t>
      </w:r>
    </w:p>
    <w:p>
      <w:r>
        <w:rPr>
          <w:rFonts w:ascii="Times New Roman" w:hAnsi="Times New Roman"/>
          <w:b w:val="0"/>
          <w:i w:val="0"/>
          <w:sz w:val="20"/>
        </w:rPr>
        <w:t>26. Pang, X., Hou, Y., Wang, J., Sachan, M. Unveiling the Visual Counting Bottleneck in Vision-Language Models. ICML 2026. preprint arXiv:2605.30170.</w:t>
      </w:r>
    </w:p>
    <w:p>
      <w:r>
        <w:rPr>
          <w:rFonts w:ascii="Times New Roman" w:hAnsi="Times New Roman"/>
          <w:b w:val="0"/>
          <w:i w:val="0"/>
          <w:sz w:val="20"/>
        </w:rPr>
        <w:t>27. Pothiraj, A., Stengel-Eskin, E., Cho, J., et al. CAPTURe: Evaluating Spatial Reasoning in Vision Language Models via Occluded Object Counting. ICCV 2025. preprint arXiv:2504.15485.</w:t>
      </w:r>
    </w:p>
    <w:p>
      <w:r>
        <w:rPr>
          <w:rFonts w:ascii="Times New Roman" w:hAnsi="Times New Roman"/>
          <w:b w:val="0"/>
          <w:i w:val="0"/>
          <w:sz w:val="20"/>
        </w:rPr>
        <w:t>28. Guo, C., Pleiss, G., Sun, Y., et al. On Calibration of Modern Neural Networks. ICML 2017. preprint arXiv:1706.04599.</w:t>
      </w:r>
    </w:p>
    <w:p>
      <w:r>
        <w:rPr>
          <w:rFonts w:ascii="Times New Roman" w:hAnsi="Times New Roman"/>
          <w:b w:val="0"/>
          <w:i w:val="0"/>
          <w:sz w:val="20"/>
        </w:rPr>
        <w:t>29. Tamarapalli, J., Grover, R., Pande, N., et al. CountQA: How Well Do MLLMs Count in the Wild? preprint arXiv:2508.06585, 2025.</w:t>
      </w:r>
    </w:p>
    <w:p>
      <w:r>
        <w:rPr>
          <w:rFonts w:ascii="Times New Roman" w:hAnsi="Times New Roman"/>
          <w:b w:val="0"/>
          <w:i w:val="0"/>
          <w:sz w:val="20"/>
        </w:rPr>
        <w:t>30. Li, S., Chen, J., Sharma, K., et al. PushupBench: Your VLM is not good at counting pushups. preprint arXiv:2604.23407, 2026.</w:t>
      </w:r>
    </w:p>
    <w:p>
      <w:r>
        <w:rPr>
          <w:rFonts w:ascii="Times New Roman" w:hAnsi="Times New Roman"/>
          <w:b w:val="0"/>
          <w:i w:val="0"/>
          <w:sz w:val="20"/>
        </w:rPr>
        <w:t>31. Zhu, P., Wen, L., Du, D., et al. Detection and Tracking Meet Drones Challenge. IEEE TPAMI 44(11), 2022. https://doi.org/10.1109/TPAMI.2021.3119563.</w:t>
      </w:r>
    </w:p>
    <w:p>
      <w:r>
        <w:rPr>
          <w:rFonts w:ascii="Times New Roman" w:hAnsi="Times New Roman"/>
          <w:b w:val="0"/>
          <w:i w:val="0"/>
          <w:sz w:val="20"/>
        </w:rPr>
        <w:t>32. Wang, J., Yang, W., Guo, H., et al. Tiny Object Detection in Aerial Images. ICPR 2021. https://doi.org/10.1109/ICPR48806.2021.9413340.</w:t>
      </w:r>
    </w:p>
    <w:p>
      <w:r>
        <w:rPr>
          <w:rFonts w:ascii="Times New Roman" w:hAnsi="Times New Roman"/>
          <w:b w:val="0"/>
          <w:i w:val="0"/>
          <w:sz w:val="20"/>
        </w:rPr>
        <w:t>33. Tian, Y., Ye, Q., Doermann, D. YOLOv12: Attention-Centric Real-Time Object Detectors. NeurIPS 2025. https://doi.org/10.52202/085713-2627.</w:t>
      </w:r>
    </w:p>
    <w:p>
      <w:r>
        <w:rPr>
          <w:rFonts w:ascii="Times New Roman" w:hAnsi="Times New Roman"/>
          <w:b w:val="0"/>
          <w:i w:val="0"/>
          <w:sz w:val="20"/>
        </w:rPr>
        <w:t>34. Akyon, F., Altinuc, S., Temizel, A. Slicing Aided Hyper Inference and Fine-tuning for Small Object Detection. ICIP 2022. preprint arXiv:2202.06934.</w:t>
      </w:r>
    </w:p>
    <w:p>
      <w:r>
        <w:rPr>
          <w:rFonts w:ascii="Times New Roman" w:hAnsi="Times New Roman"/>
          <w:b w:val="0"/>
          <w:i w:val="0"/>
          <w:sz w:val="20"/>
        </w:rPr>
        <w:t>35. Lin, T.-Y., Maire, M., Belongie, S., et al. Microsoft COCO: Common Objects in Context. ECCV 2014. https://doi.org/10.1007/978-3-319-10602-1_48.</w:t>
      </w:r>
    </w:p>
    <w:p>
      <w:r>
        <w:rPr>
          <w:rFonts w:ascii="Times New Roman" w:hAnsi="Times New Roman"/>
          <w:b w:val="0"/>
          <w:i w:val="0"/>
          <w:sz w:val="20"/>
        </w:rPr>
        <w:t>36. Ren, S., He, K., Girshick, R., Sun, J. Faster R-CNN: Towards Real-Time Object Detection with Region Proposal Networks. IEEE TPAMI 39(6), 2017. https://doi.org/10.1109/TPAMI.2016.2577031.</w:t>
      </w:r>
    </w:p>
    <w:p>
      <w:r>
        <w:rPr>
          <w:rFonts w:ascii="Times New Roman" w:hAnsi="Times New Roman"/>
          <w:b w:val="0"/>
          <w:i w:val="0"/>
          <w:sz w:val="20"/>
        </w:rPr>
        <w:t>37. Lin, T.-Y., Goyal, P., Girshick, R., et al. Focal Loss for Dense Object Detection. ICCV 2017. https://doi.org/10.1109/ICCV.2017.324.</w:t>
      </w:r>
    </w:p>
    <w:p>
      <w:r>
        <w:rPr>
          <w:rFonts w:ascii="Times New Roman" w:hAnsi="Times New Roman"/>
          <w:b w:val="0"/>
          <w:i w:val="0"/>
          <w:sz w:val="20"/>
        </w:rPr>
        <w:t>38. Bai, S., Cai, Y., Chen, R., et al. Qwen3-VL Technical Report. preprint arXiv:2511.21631, 2025.</w:t>
      </w:r>
    </w:p>
    <w:p>
      <w:r>
        <w:rPr>
          <w:rFonts w:ascii="Times New Roman" w:hAnsi="Times New Roman"/>
          <w:b w:val="0"/>
          <w:i w:val="0"/>
          <w:sz w:val="20"/>
        </w:rPr>
        <w:t>39. Lin, J., Tang, J., Tang, H., et al. AWQ: Activation-aware Weight Quantization for LLM Compression and Acceleration. preprint arXiv:2306.00978, 2023.</w:t>
      </w:r>
    </w:p>
    <w:p>
      <w:r>
        <w:rPr>
          <w:rFonts w:ascii="Times New Roman" w:hAnsi="Times New Roman"/>
          <w:b w:val="0"/>
          <w:i w:val="0"/>
          <w:sz w:val="20"/>
        </w:rPr>
        <w:t>40. Bai, S., Chen, K., Liu, X., et al. Qwen2.5-VL Technical Report. preprint arXiv:2502.13923, 2025.</w:t>
      </w:r>
    </w:p>
    <w:p>
      <w:r>
        <w:rPr>
          <w:rFonts w:ascii="Times New Roman" w:hAnsi="Times New Roman"/>
          <w:b w:val="0"/>
          <w:i w:val="0"/>
          <w:sz w:val="20"/>
        </w:rPr>
        <w:t>41. Ma, Z., Wei, X., Hong, X., et al. Bayesian Loss for Crowd Count Estimation with Point Supervision. ICCV 2019. https://doi.org/10.1109/ICCV.2019.00624.</w:t>
      </w:r>
    </w:p>
    <w:p>
      <w:r>
        <w:rPr>
          <w:rFonts w:ascii="Times New Roman" w:hAnsi="Times New Roman"/>
          <w:b w:val="0"/>
          <w:i w:val="0"/>
          <w:sz w:val="20"/>
        </w:rPr>
        <w:t>42. Li, Y., Zhang, X., Chen, D. CSRNet: Dilated Convolutional Neural Networks for Understanding the Highly Congested Scenes. CVPR 2018. https://doi.org/10.1109/CVPR.2018.00120.</w:t>
      </w:r>
    </w:p>
    <w:p>
      <w:r>
        <w:rPr>
          <w:rFonts w:ascii="Times New Roman" w:hAnsi="Times New Roman"/>
          <w:b w:val="0"/>
          <w:i w:val="0"/>
          <w:sz w:val="20"/>
        </w:rPr>
        <w:t>43. Wang, B., Liu, H., Samaras, D., Nguyen, H. Distribution Matching for Crowd Counting. NeurIPS 2020. preprint arXiv:2009.13077.</w:t>
      </w:r>
    </w:p>
    <w:p>
      <w:r>
        <w:rPr>
          <w:rFonts w:ascii="Times New Roman" w:hAnsi="Times New Roman"/>
          <w:b w:val="0"/>
          <w:i w:val="0"/>
          <w:sz w:val="20"/>
        </w:rPr>
        <w:t>44. Han, H. Off-Target Effects of Response-Style Alignment in a Korean 27B Language Model. preprint arXiv:2609.11291, 2026.</w:t>
      </w:r>
    </w:p>
    <w:p>
      <w:r>
        <w:rPr>
          <w:rFonts w:ascii="Times New Roman" w:hAnsi="Times New Roman"/>
          <w:b w:val="0"/>
          <w:i w:val="0"/>
          <w:sz w:val="20"/>
        </w:rPr>
        <w:t>45. Idrees, H., Tayyab, M., Athrey, K., et al. Composition Loss for Counting, Density Map Estimation and Localization in Dense Crowds. ECCV 2018. https://doi.org/10.1007/978-3-030-01216-8_33.</w:t>
      </w:r>
    </w:p>
    <w:p>
      <w:r>
        <w:rPr>
          <w:rFonts w:ascii="Times New Roman" w:hAnsi="Times New Roman"/>
          <w:b w:val="0"/>
          <w:i w:val="0"/>
          <w:sz w:val="20"/>
        </w:rPr>
        <w:t>46. Ljosa, V., Sokolnicki, K. L., Carpenter, A. E. Annotated high-throughput microscopy image sets for validation. Nat. Methods, 2012. https://doi.org/10.1038/nmeth.2083.</w:t>
      </w:r>
    </w:p>
    <w:p>
      <w:r>
        <w:rPr>
          <w:rFonts w:ascii="Times New Roman" w:hAnsi="Times New Roman"/>
          <w:b w:val="0"/>
          <w:i w:val="0"/>
          <w:sz w:val="20"/>
        </w:rPr>
        <w:t>47. Becker, S., Weiss, S., Hübner, W., et al. Self-Aware Object Detection via Degradation Manifolds. preprint arXiv:2602.18394, 2026.</w:t>
      </w:r>
    </w:p>
    <w:p>
      <w:r>
        <w:rPr>
          <w:rFonts w:ascii="Times New Roman" w:hAnsi="Times New Roman"/>
          <w:b w:val="0"/>
          <w:i w:val="0"/>
          <w:sz w:val="20"/>
        </w:rPr>
        <w:t>48.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49. Yuan, J., Li, H., Ding, X., et al. Understanding and Mitigating Numerical Sources of Nondeterminism in LLM Inference. preprint arXiv:2506.09501, 2025.</w:t>
      </w:r>
    </w:p>
    <w:p>
      <w:r>
        <w:rPr>
          <w:rFonts w:ascii="Times New Roman" w:hAnsi="Times New Roman"/>
          <w:b w:val="0"/>
          <w:i w:val="0"/>
          <w:sz w:val="20"/>
        </w:rPr>
        <w:t>50. Fu, T., Martínez, G., Conde, J., et al. Beyond Reproducibility: Token Probabilities Expose Large Language Model Nondeterminism. IEEE Trans. Comput., 2026. preprint arXiv:2601.06118.</w:t>
      </w:r>
    </w:p>
    <w:p>
      <w:r>
        <w:rPr>
          <w:rFonts w:ascii="Times New Roman" w:hAnsi="Times New Roman"/>
          <w:b w:val="0"/>
          <w:i w:val="0"/>
          <w:sz w:val="20"/>
        </w:rPr>
        <w:t>51.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52. Mustahsan, Z., Lim, A., Anand, M., et al. Stochasticity in Agentic Evaluations: Quantifying Inconsistency with Intraclass Correlation. preprint arXiv:2512.06710, 2025.</w:t>
      </w:r>
    </w:p>
    <w:p>
      <w:r>
        <w:rPr>
          <w:rFonts w:ascii="Times New Roman" w:hAnsi="Times New Roman"/>
          <w:b w:val="0"/>
          <w:i w:val="0"/>
          <w:sz w:val="20"/>
        </w:rPr>
        <w:t>53. Narasimhan, H., Menon, A., Jitkrittum, W., et al. Plugin Estimators for Selective Classification with Out-of-Distribution Detection. preprint arXiv:2301.12386, 2023.</w:t>
      </w:r>
    </w:p>
    <w:p>
      <w:r>
        <w:rPr>
          <w:rFonts w:ascii="Times New Roman" w:hAnsi="Times New Roman"/>
          <w:b w:val="0"/>
          <w:i w:val="0"/>
          <w:sz w:val="20"/>
        </w:rPr>
        <w:t>54. Frantar, E., Ashkboos, S., Hoefler, T., Alistarh, D. GPTQ: Accurate Post-Training Quantization for Generative Pre-trained Transformers. preprint arXiv:2210.17323, 2023.</w:t>
      </w:r>
    </w:p>
    <w:p>
      <w:r>
        <w:rPr>
          <w:rFonts w:ascii="Times New Roman" w:hAnsi="Times New Roman"/>
          <w:b w:val="0"/>
          <w:i w:val="0"/>
          <w:sz w:val="20"/>
        </w:rPr>
        <w:t>55. Sindagi, V. A., Yasarla, R., Patel, V. M. JHU-CROWD++: Large-Scale Crowd Counting Dataset and A Benchmark Method. IEEE Trans. Pattern Anal. Mach. Intell., 2020. https://doi.org/10.1109/TPAMI.2020.3035969.</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