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w:t>
      </w:r>
      <w:r>
        <w:rPr>
          <w:rFonts w:ascii="Times New Roman" w:hAnsi="Times New Roman"/>
          <w:b/>
          <w:i w:val="0"/>
          <w:sz w:val="20"/>
        </w:rPr>
        <w:t>in these cells</w:t>
      </w:r>
      <w:r>
        <w:rPr>
          <w:rFonts w:ascii="Times New Roman" w:hAnsi="Times New Roman"/>
          <w:b w:val="0"/>
          <w:i w:val="0"/>
          <w:sz w:val="20"/>
        </w:rPr>
        <w:t xml:space="preserv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and regression now carries a reject option too [3], [4] — all treating abstention as </w:t>
      </w:r>
      <w:r>
        <w:rPr>
          <w:rFonts w:ascii="Times New Roman" w:hAnsi="Times New Roman"/>
          <w:b/>
          <w:i w:val="0"/>
          <w:sz w:val="20"/>
        </w:rPr>
        <w:t>explicit</w:t>
      </w:r>
      <w:r>
        <w:rPr>
          <w:rFonts w:ascii="Times New Roman" w:hAnsi="Times New Roman"/>
          <w:b w:val="0"/>
          <w:i w:val="0"/>
          <w:sz w:val="20"/>
        </w:rPr>
        <w:t xml:space="preserve">: classification, question answering, reasoning, regression. Counting differs: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and </w:t>
      </w:r>
      <w:r>
        <w:rPr>
          <w:rFonts w:ascii="Times New Roman" w:hAnsi="Times New Roman"/>
          <w:b/>
          <w:i w:val="0"/>
          <w:sz w:val="20"/>
        </w:rPr>
        <w:t>no dependable confidence</w:t>
      </w:r>
      <w:r>
        <w:rPr>
          <w:rFonts w:ascii="Times New Roman" w:hAnsi="Times New Roman"/>
          <w:b w:val="0"/>
          <w:i w:val="0"/>
          <w:sz w:val="20"/>
        </w:rPr>
        <w:t xml:space="preserve"> exists for a rejection rule. Abstention must be </w:t>
      </w:r>
      <w:r>
        <w:rPr>
          <w:rFonts w:ascii="Times New Roman" w:hAnsi="Times New Roman"/>
          <w:b/>
          <w:i w:val="0"/>
          <w:sz w:val="20"/>
        </w:rPr>
        <w:t>operationalised</w:t>
      </w:r>
      <w:r>
        <w:rPr>
          <w:rFonts w:ascii="Times New Roman" w:hAnsi="Times New Roman"/>
          <w:b w:val="0"/>
          <w:i w:val="0"/>
          <w:sz w:val="20"/>
        </w:rPr>
        <w:t xml:space="preserve"> in the counting domain (§3.6, Proposition 1); our contribution is bounded to the </w:t>
      </w:r>
      <w:r>
        <w:rPr>
          <w:rFonts w:ascii="Times New Roman" w:hAnsi="Times New Roman"/>
          <w:b/>
          <w:i w:val="0"/>
          <w:sz w:val="20"/>
        </w:rPr>
        <w:t>output contract</w:t>
      </w:r>
      <w:r>
        <w:rPr>
          <w:rFonts w:ascii="Times New Roman" w:hAnsi="Times New Roman"/>
          <w:b w:val="0"/>
          <w:i w:val="0"/>
          <w:sz w:val="20"/>
        </w:rPr>
        <w:t xml:space="preserve">, the </w:t>
      </w:r>
      <w:r>
        <w:rPr>
          <w:rFonts w:ascii="Times New Roman" w:hAnsi="Times New Roman"/>
          <w:b/>
          <w:i w:val="0"/>
          <w:sz w:val="20"/>
        </w:rPr>
        <w:t>zero-counted versus answered-only</w:t>
      </w:r>
      <w:r>
        <w:rPr>
          <w:rFonts w:ascii="Times New Roman" w:hAnsi="Times New Roman"/>
          <w:b w:val="0"/>
          <w:i w:val="0"/>
          <w:sz w:val="20"/>
        </w:rPr>
        <w:t xml:space="preserve"> conventions, and </w:t>
      </w:r>
      <w:r>
        <w:rPr>
          <w:rFonts w:ascii="Times New Roman" w:hAnsi="Times New Roman"/>
          <w:b/>
          <w:i w:val="0"/>
          <w:sz w:val="20"/>
        </w:rPr>
        <w:t>ordering within pre-specified level sets</w:t>
      </w:r>
      <w:r>
        <w:rPr>
          <w:rFonts w:ascii="Times New Roman" w:hAnsi="Times New Roman"/>
          <w:b w:val="0"/>
          <w:i w:val="0"/>
          <w:sz w:val="20"/>
        </w:rPr>
        <w:t>.</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and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50%</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[5]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 among the tested interventions.</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w:t>
      </w:r>
      <w:r>
        <w:rPr>
          <w:rFonts w:ascii="Times New Roman" w:hAnsi="Times New Roman"/>
          <w:b/>
          <w:i w:val="0"/>
          <w:sz w:val="20"/>
        </w:rPr>
        <w:t>among the tested interventions, tiling is the only one that improves both.</w:t>
      </w:r>
      <w:r>
        <w:rPr>
          <w:rFonts w:ascii="Times New Roman" w:hAnsi="Times New Roman"/>
          <w:b w:val="0"/>
          <w:i w:val="0"/>
          <w:sz w:val="20"/>
        </w:rPr>
        <w:t xml:space="preserve">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787520"/>
            <wp:docPr id="2" name="Picture 2"/>
            <wp:cNvGraphicFramePr>
              <a:graphicFrameLocks noChangeAspect="1"/>
            </wp:cNvGraphicFramePr>
            <a:graphic>
              <a:graphicData uri="http://schemas.openxmlformats.org/drawingml/2006/picture">
                <pic:pic>
                  <pic:nvPicPr>
                    <pic:cNvPr id="0" name="F12_prompt_dose.png"/>
                    <pic:cNvPicPr/>
                  </pic:nvPicPr>
                  <pic:blipFill>
                    <a:blip r:embed="rId11"/>
                    <a:stretch>
                      <a:fillRect/>
                    </a:stretch>
                  </pic:blipFill>
                  <pic:spPr>
                    <a:xfrm>
                      <a:off x="0" y="0"/>
                      <a:ext cx="2736000" cy="1787520"/>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(2.15–6.46 pp) and below the smallest attainable corrected p of that test,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or an author-side computation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[6]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[7]</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[8]. Comparative work treats them as paradigms with characteristic trade-offs, and magnitude error is the axis on which they are compared.</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([9] and successors). A parallel and largely separate literature studies abstention: selective prediction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it is gated by per-instance legibility, and by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i w:val="0"/>
                <w:sz w:val="20"/>
              </w:rPr>
              <w:t>10,800</w:t>
            </w:r>
            <w:r>
              <w:rPr>
                <w:rFonts w:ascii="Times New Roman" w:hAnsi="Times New Roman"/>
                <w:b w:val="0"/>
                <w:i w:val="0"/>
                <w:sz w:val="20"/>
              </w:rPr>
              <w:t xml:space="preserve"> synthetic images, </w:t>
            </w:r>
            <w:r>
              <w:rPr>
                <w:rFonts w:ascii="Times New Roman" w:hAnsi="Times New Roman"/>
                <w:b/>
                <w:i w:val="0"/>
                <w:sz w:val="20"/>
              </w:rPr>
              <w:t>six</w:t>
            </w:r>
            <w:r>
              <w:rPr>
                <w:rFonts w:ascii="Times New Roman" w:hAnsi="Times New Roman"/>
                <w:b w:val="0"/>
                <w:i w:val="0"/>
                <w:sz w:val="20"/>
              </w:rPr>
              <w:t xml:space="preserve"> controlled conditions, </w:t>
            </w:r>
            <w:r>
              <w:rPr>
                <w:rFonts w:ascii="Times New Roman" w:hAnsi="Times New Roman"/>
                <w:b/>
                <w:i w:val="0"/>
                <w:sz w:val="20"/>
              </w:rPr>
              <w:t>seven</w:t>
            </w:r>
            <w:r>
              <w:rPr>
                <w:rFonts w:ascii="Times New Roman" w:hAnsi="Times New Roman"/>
                <w:b w:val="0"/>
                <w:i w:val="0"/>
                <w:sz w:val="20"/>
              </w:rPr>
              <w:t xml:space="preserve"> VLMs</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[7],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(batch ≤ 2), and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[7];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[6]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rather than left as "the predicted total is zero".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a lineage with ratio κ identifies its </w:t>
      </w:r>
      <w:r>
        <w:rPr>
          <w:rFonts w:ascii="Times New Roman" w:hAnsi="Times New Roman"/>
          <w:b/>
          <w:i w:val="0"/>
          <w:sz w:val="20"/>
        </w:rPr>
        <w:t>answered-zero rate</w:t>
      </w:r>
      <w:r>
        <w:rPr>
          <w:rFonts w:ascii="Times New Roman" w:hAnsi="Times New Roman"/>
          <w:b w:val="0"/>
          <w:i w:val="0"/>
          <w:sz w:val="20"/>
        </w:rPr>
        <w:t xml:space="preserve"> only to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abstention is itself GT-dependent, but that alone does not fix the covariance's sign or size: it is </w:t>
      </w:r>
      <w:r>
        <w:rPr>
          <w:rFonts w:ascii="Times New Roman" w:hAnsi="Times New Roman"/>
          <w:b/>
          <w:i w:val="0"/>
          <w:sz w:val="20"/>
        </w:rPr>
        <w:t>measured per domain, not assumed</w:t>
      </w:r>
      <w:r>
        <w:rPr>
          <w:rFonts w:ascii="Times New Roman" w:hAnsi="Times New Roman"/>
          <w:b w:val="0"/>
          <w:i w:val="0"/>
          <w:sz w:val="20"/>
        </w:rPr>
        <w:t>. §5.12 reports those values. Both conventions are therefore</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which is a share inside [0,1] only when the net deviation is an under-count; where it is not, the two pp terms of Table 3 are the reported quantities (§8.2). This is a reporting identity of the same form as the answer-propensity / conditional-composition decomposition we use elsewhere [46];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that build's two-source comparison is licensed (the other three builds' two-source agreement there is largely a saturation product, Appendix M.32(c)), and  remains unknown (Appendix M.21)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(three levels)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10000"/>
            <wp:docPr id="3" name="Picture 3"/>
            <wp:cNvGraphicFramePr>
              <a:graphicFrameLocks noChangeAspect="1"/>
            </wp:cNvGraphicFramePr>
            <a:graphic>
              <a:graphicData uri="http://schemas.openxmlformats.org/drawingml/2006/picture">
                <pic:pic>
                  <pic:nvPicPr>
                    <pic:cNvPr id="0" name="F8_tau_cleaning.png"/>
                    <pic:cNvPicPr/>
                  </pic:nvPicPr>
                  <pic:blipFill>
                    <a:blip r:embed="rId12"/>
                    <a:stretch>
                      <a:fillRect/>
                    </a:stretch>
                  </pic:blipFill>
                  <pic:spPr>
                    <a:xfrm>
                      <a:off x="0" y="0"/>
                      <a:ext cx="2736000" cy="171000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M.19.16(ii), M.39, M.46(c)). </w:t>
      </w:r>
      <w:r>
        <w:rPr>
          <w:rFonts w:ascii="Times New Roman" w:hAnsi="Times New Roman"/>
          <w:b/>
          <w:i w:val="0"/>
          <w:sz w:val="20"/>
        </w:rPr>
        <w:t>This is the quantitative core of the paper's central claim (a coverage of the abstention channel, not a precision; Proposition 7):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Count and correctness under controlled rendering factors</w:t>
      </w:r>
    </w:p>
    <w:p>
      <w:r>
        <w:rPr>
          <w:rFonts w:ascii="Times New Roman" w:hAnsi="Times New Roman"/>
          <w:b w:val="0"/>
          <w:i w:val="0"/>
          <w:sz w:val="20"/>
        </w:rPr>
        <w:t>A new synthetic-dot experiment holds the rendering fixed: count predicts correctness, not abstention. β = −4.2059, CI [−4.6465, −3.7653], 49.9% → 2.1% → 0.5% (11,232 = primary; contrast in M.11.1).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985806"/>
            <wp:docPr id="4" name="Picture 4"/>
            <wp:cNvGraphicFramePr>
              <a:graphicFrameLocks noChangeAspect="1"/>
            </wp:cNvGraphicFramePr>
            <a:graphic>
              <a:graphicData uri="http://schemas.openxmlformats.org/drawingml/2006/picture">
                <pic:pic>
                  <pic:nvPicPr>
                    <pic:cNvPr id="0" name="F11_abstention_vs_undercount.png"/>
                    <pic:cNvPicPr/>
                  </pic:nvPicPr>
                  <pic:blipFill>
                    <a:blip r:embed="rId13"/>
                    <a:stretch>
                      <a:fillRect/>
                    </a:stretch>
                  </pic:blipFill>
                  <pic:spPr>
                    <a:xfrm>
                      <a:off x="0" y="0"/>
                      <a:ext cx="2736000" cy="1985806"/>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 The two ranked columns use </w:t>
      </w:r>
      <w:r>
        <w:rPr>
          <w:rFonts w:ascii="Times New Roman" w:hAnsi="Times New Roman"/>
          <w:b/>
          <w:i w:val="0"/>
          <w:sz w:val="20"/>
        </w:rPr>
        <w:t>two orderings</w:t>
      </w:r>
      <w:r>
        <w:rPr>
          <w:rFonts w:ascii="Times New Roman" w:hAnsi="Times New Roman"/>
          <w:b w:val="0"/>
          <w:i w:val="0"/>
          <w:sz w:val="20"/>
        </w:rPr>
        <w:t xml:space="preserve">: the Spearman is on </w:t>
      </w:r>
      <w:r>
        <w:rPr>
          <w:rFonts w:ascii="Times New Roman" w:hAnsi="Times New Roman"/>
          <w:b/>
          <w:i w:val="0"/>
          <w:sz w:val="20"/>
        </w:rPr>
        <w:t>|ρ|</w:t>
      </w:r>
      <w:r>
        <w:rPr>
          <w:rFonts w:ascii="Times New Roman" w:hAnsi="Times New Roman"/>
          <w:b w:val="0"/>
          <w:i w:val="0"/>
          <w:sz w:val="20"/>
        </w:rPr>
        <w:t xml:space="preserve">, the inversion count on the </w:t>
      </w:r>
      <w:r>
        <w:rPr>
          <w:rFonts w:ascii="Times New Roman" w:hAnsi="Times New Roman"/>
          <w:b/>
          <w:i w:val="0"/>
          <w:sz w:val="20"/>
        </w:rPr>
        <w:t>signed</w:t>
      </w:r>
      <w:r>
        <w:rPr>
          <w:rFonts w:ascii="Times New Roman" w:hAnsi="Times New Roman"/>
          <w:b w:val="0"/>
          <w:i w:val="0"/>
          <w:sz w:val="20"/>
        </w:rPr>
        <w:t xml:space="preserve"> ρ.</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a decision costs depends on a second convention.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and a 3 × 3 grid of θ × tol are evaluated under both readings of "answered". Read as </w:t>
      </w:r>
      <w:r>
        <w:rPr>
          <w:rFonts w:ascii="Times New Roman" w:hAnsi="Times New Roman"/>
          <w:b w:val="0"/>
          <w:i/>
          <w:sz w:val="20"/>
        </w:rPr>
        <w:t>textual refusals only</w:t>
      </w:r>
      <w:r>
        <w:rPr>
          <w:rFonts w:ascii="Times New Roman" w:hAnsi="Times New Roman"/>
          <w:b w:val="0"/>
          <w:i w:val="0"/>
          <w:sz w:val="20"/>
        </w:rPr>
        <w:t xml:space="preserve">, </w:t>
      </w:r>
      <w:r>
        <w:rPr>
          <w:rFonts w:ascii="Times New Roman" w:hAnsi="Times New Roman"/>
          <w:b/>
          <w:i w:val="0"/>
          <w:sz w:val="20"/>
        </w:rPr>
        <w:t>three verdicts flip</w:t>
      </w:r>
      <w:r>
        <w:rPr>
          <w:rFonts w:ascii="Times New Roman" w:hAnsi="Times New Roman"/>
          <w:b w:val="0"/>
          <w:i w:val="0"/>
          <w:sz w:val="20"/>
        </w:rPr>
        <w:t xml:space="preserve"> and the selection sets are </w:t>
      </w:r>
      <w:r>
        <w:rPr>
          <w:rFonts w:ascii="Times New Roman" w:hAnsi="Times New Roman"/>
          <w:b/>
          <w:i w:val="0"/>
          <w:sz w:val="20"/>
        </w:rPr>
        <w:t>identical in five</w:t>
      </w:r>
      <w:r>
        <w:rPr>
          <w:rFonts w:ascii="Times New Roman" w:hAnsi="Times New Roman"/>
          <w:b w:val="0"/>
          <w:i w:val="0"/>
          <w:sz w:val="20"/>
        </w:rPr>
        <w:t xml:space="preserve">; read as §M.27 defines them — a numerical </w:t>
      </w:r>
      <w:r>
        <w:rPr>
          <w:rFonts w:ascii="Times New Roman" w:hAnsi="Times New Roman"/>
          <w:b w:val="0"/>
          <w:i/>
          <w:sz w:val="20"/>
        </w:rPr>
        <w:t>0</w:t>
      </w:r>
      <w:r>
        <w:rPr>
          <w:rFonts w:ascii="Times New Roman" w:hAnsi="Times New Roman"/>
          <w:b w:val="0"/>
          <w:i w:val="0"/>
          <w:sz w:val="20"/>
        </w:rPr>
        <w:t xml:space="preserve"> is </w:t>
      </w:r>
      <w:r>
        <w:rPr>
          <w:rFonts w:ascii="Times New Roman" w:hAnsi="Times New Roman"/>
          <w:b w:val="0"/>
          <w:i/>
          <w:sz w:val="20"/>
        </w:rPr>
        <w:t>also</w:t>
      </w:r>
      <w:r>
        <w:rPr>
          <w:rFonts w:ascii="Times New Roman" w:hAnsi="Times New Roman"/>
          <w:b w:val="0"/>
          <w:i w:val="0"/>
          <w:sz w:val="20"/>
        </w:rPr>
        <w:t xml:space="preserve"> an abstention — </w:t>
      </w:r>
      <w:r>
        <w:rPr>
          <w:rFonts w:ascii="Times New Roman" w:hAnsi="Times New Roman"/>
          <w:b/>
          <w:i w:val="0"/>
          <w:sz w:val="20"/>
        </w:rPr>
        <w:t>78 verdicts flip</w:t>
      </w:r>
      <w:r>
        <w:rPr>
          <w:rFonts w:ascii="Times New Roman" w:hAnsi="Times New Roman"/>
          <w:b w:val="0"/>
          <w:i w:val="0"/>
          <w:sz w:val="20"/>
        </w:rPr>
        <w:t xml:space="preserve"> and the sets differ in </w:t>
      </w:r>
      <w:r>
        <w:rPr>
          <w:rFonts w:ascii="Times New Roman" w:hAnsi="Times New Roman"/>
          <w:b/>
          <w:i w:val="0"/>
          <w:sz w:val="20"/>
        </w:rPr>
        <w:t>4 of 5</w:t>
      </w:r>
      <w:r>
        <w:rPr>
          <w:rFonts w:ascii="Times New Roman" w:hAnsi="Times New Roman"/>
          <w:b w:val="0"/>
          <w:i w:val="0"/>
          <w:sz w:val="20"/>
        </w:rPr>
        <w:t xml:space="preserve">. Whether the convention is a comparability or a decision problem is convention-dependent; the decision-relevant quantity remains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[7]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the 300 sampled images, which is 17–52 images per configuration (Appendix M.24.2); those two figures carry no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0a42e6e5bbfa89543ba9fc1522f1b075</w:t>
      </w:r>
      <w:r>
        <w:rPr>
          <w:rFonts w:ascii="Times New Roman" w:hAnsi="Times New Roman"/>
          <w:b w:val="0"/>
          <w:i w:val="0"/>
          <w:sz w:val="20"/>
        </w:rPr>
        <w:t xml:space="preserve">, re-issued, traces removed; values unchanged;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zero rate is a property of the domain, not the family; the contract knob’s ordering margin passes its first conjunct only.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(Appendix M.31.2). That is a fixed, partially protocol-deviating panel statement, not a population interval over families.</w:t>
      </w:r>
    </w:p>
    <w:p>
      <w:r>
        <w:rPr>
          <w:rFonts w:ascii="Times New Roman" w:hAnsi="Times New Roman"/>
          <w:b/>
          <w:i w:val="0"/>
          <w:sz w:val="20"/>
        </w:rPr>
        <w:t>Four of the six pre-registered predictions failed outright</w:t>
      </w:r>
      <w:r>
        <w:rPr>
          <w:rFonts w:ascii="Times New Roman" w:hAnsi="Times New Roman"/>
          <w:b w:val="0"/>
          <w:i w:val="0"/>
          <w:sz w:val="20"/>
        </w:rPr>
        <w:t xml:space="preserve"> (a prediction fails unless every conjunct passes; P2's second is not evaluable), and they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Three further measurement properties matter here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the VLM contract arm's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0.943–0.996</w:t>
      </w:r>
      <w:r>
        <w:rPr>
          <w:rFonts w:ascii="Times New Roman" w:hAnsi="Times New Roman"/>
          <w:b w:val="0"/>
          <w:i w:val="0"/>
          <w:sz w:val="20"/>
        </w:rPr>
        <w:t xml:space="preserve"> (31 units) and </w:t>
      </w:r>
      <w:r>
        <w:rPr>
          <w:rFonts w:ascii="Times New Roman" w:hAnsi="Times New Roman"/>
          <w:b/>
          <w:i w:val="0"/>
          <w:sz w:val="20"/>
        </w:rPr>
        <w:t>0.834–0.984</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(cluster-level; recomputed from the released package, Appendix F.7);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 and the 0.85 criterion set for that objection is not met by the re-normalised ladders (0.629 on log ratios, 0.595 on ranks, 0.580–0.754 over the four subsets; Appendix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within the level sets and calibers measured here: </w:t>
      </w:r>
      <w:r>
        <w:rPr>
          <w:rFonts w:ascii="Times New Roman" w:hAnsi="Times New Roman"/>
          <w:b/>
          <w:i w:val="0"/>
          <w:sz w:val="20"/>
        </w:rPr>
        <w:t>quote a magnitude only with the grid density and the calibration caliber that produced it.</w:t>
      </w:r>
      <w:r>
        <w:rPr>
          <w:rFonts w:ascii="Times New Roman" w:hAnsi="Times New Roman"/>
          <w:b w:val="0"/>
          <w:i w:val="0"/>
          <w:sz w:val="20"/>
        </w:rPr>
        <w:t xml:space="preserve"> </w:t>
      </w:r>
      <w:r>
        <w:rPr>
          <w:rFonts w:ascii="Times New Roman" w:hAnsi="Times New Roman"/>
          <w:b/>
          <w:i w:val="0"/>
          <w:sz w:val="20"/>
        </w:rPr>
        <w:t>We do not turn this into a deployment rule</w:t>
      </w:r>
      <w:r>
        <w:rPr>
          <w:rFonts w:ascii="Times New Roman" w:hAnsi="Times New Roman"/>
          <w:b w:val="0"/>
          <w:i w:val="0"/>
          <w:sz w:val="20"/>
        </w:rPr>
        <w:t>: the ordering we report is descriptive. Our own candidate for the magnitude (Proposition 3) is a component of the definition and is withdrawn, so a magnitude law remains open; the ordering itself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The three annotation-free signals tested do not form the rule defined above</w:t>
      </w:r>
      <w:r>
        <w:rPr>
          <w:rFonts w:ascii="Times New Roman" w:hAnsi="Times New Roman"/>
          <w:b w:val="0"/>
          <w:i w:val="0"/>
          <w:sz w:val="20"/>
        </w:rPr>
        <w:t xml:space="preserve">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identified by the three tested output-level signals</w:t>
      </w:r>
      <w:r>
        <w:rPr>
          <w:rFonts w:ascii="Times New Roman" w:hAnsi="Times New Roman"/>
          <w:b w:val="0"/>
          <w:i w:val="0"/>
          <w:sz w:val="20"/>
        </w:rPr>
        <w:t xml:space="preserve"> — it must come from outside the answers (Appendices M.23, M.14).</w:t>
      </w:r>
    </w:p>
    <w:p>
      <w:pPr>
        <w:pStyle w:val="Heading3"/>
      </w:pPr>
      <w:r>
        <w:rPr>
          <w:rFonts w:ascii="Times New Roman" w:hAnsi="Times New Roman"/>
          <w:b/>
          <w:i w:val="0"/>
          <w:sz w:val="20"/>
        </w:rPr>
        <w:t>7.8 Enumeration versus regression: what this corpus measures</w:t>
      </w:r>
    </w:p>
    <w:p>
      <w:r>
        <w:rPr>
          <w:rFonts w:ascii="Times New Roman" w:hAnsi="Times New Roman"/>
          <w:b w:val="0"/>
          <w:i w:val="0"/>
          <w:sz w:val="20"/>
        </w:rPr>
        <w:t>Enumeration-style counting is more directionally controllable than regression-style counting on this corpus: the regress-then-round pipelines we test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arms against any OpenAI-compatible endpoint given only images — no dependency on our corpora, annotations or detectors, and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and the </w:t>
      </w:r>
      <w:r>
        <w:rPr>
          <w:rFonts w:ascii="Times New Roman" w:hAnsi="Times New Roman"/>
          <w:b/>
          <w:i w:val="0"/>
          <w:sz w:val="20"/>
        </w:rPr>
        <w:t>item-answered fraction</w:t>
      </w:r>
      <w:r>
        <w:rPr>
          <w:rFonts w:ascii="Times New Roman" w:hAnsi="Times New Roman"/>
          <w:b w:val="0"/>
          <w:i w:val="0"/>
          <w:sz w:val="20"/>
        </w:rPr>
        <w:t xml:space="preserve"> w (not Proposition 4's ground-truth-weighted w); the two deviations need reference counts on the same scored subset, so without them only that diagnosis is licensed.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direction readings, M.46(a) ⇒ contract-set; &gt;30% ⇒ record a counterexample and retry with the three-option wording; below the 7 pp noise floor ⇒ immaterial). Adoption costs one serving session and yields the two quantities §5.3–§5.13 turn on, making these comparisons reproducible elsewhere (M.22). In a first independent use it was run, unchanged, on two corpora whose recipe residual had never been reported including a large unconstrained dense-crowd release (JHU-CROWD++ [51]),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§5.5 shares are scoped to the prompt language and the </w:t>
      </w:r>
      <w:r>
        <w:rPr>
          <w:rFonts w:ascii="Times New Roman" w:hAnsi="Times New Roman"/>
          <w:b/>
          <w:i w:val="0"/>
          <w:sz w:val="20"/>
        </w:rPr>
        <w:t>one anchor build</w:t>
      </w:r>
      <w:r>
        <w:rPr>
          <w:rFonts w:ascii="Times New Roman" w:hAnsi="Times New Roman"/>
          <w:b w:val="0"/>
          <w:i w:val="0"/>
          <w:sz w:val="20"/>
        </w:rPr>
        <w:t xml:space="preserve"> (</w:t>
      </w:r>
      <w:r>
        <w:rPr>
          <w:rFonts w:ascii="Times New Roman" w:hAnsi="Times New Roman"/>
          <w:b/>
          <w:i w:val="0"/>
          <w:sz w:val="20"/>
        </w:rPr>
        <w:t>the share holds at BF16, not the rate</w:t>
      </w:r>
      <w:r>
        <w:rPr>
          <w:rFonts w:ascii="Times New Roman" w:hAnsi="Times New Roman"/>
          <w:b w:val="0"/>
          <w:i w:val="0"/>
          <w:sz w:val="20"/>
        </w:rPr>
        <w:t xml:space="preserve">; eight of nine fall short — the ninth is that checkpoint at BF16;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not an under-count (§3.8) — three of twenty cells, unmeasured rather than clipped, the two pp terms of Table 3 being the fallback there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on that build carries a </w:t>
      </w:r>
      <w:r>
        <w:rPr>
          <w:rFonts w:ascii="Times New Roman" w:hAnsi="Times New Roman"/>
          <w:b/>
          <w:i w:val="0"/>
          <w:sz w:val="20"/>
        </w:rPr>
        <w:t>~1.3% item-level stack band</w:t>
      </w:r>
      <w:r>
        <w:rPr>
          <w:rFonts w:ascii="Times New Roman" w:hAnsi="Times New Roman"/>
          <w:b w:val="0"/>
          <w:i w:val="0"/>
          <w:sz w:val="20"/>
        </w:rPr>
        <w:t xml:space="preserve"> (Appendices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or flagged at https://github.com/YBP2005/P3 (CC BY 4.0), with per-file MD5s.</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Geifman, Y., El-Yaniv, R. SelectiveNet: A Deep Neural Network with an Integrated Reject Option. ICML 2019. PMLR 97:2151-2159. https://proceedings.mlr.press/v97/geifman19a.html.</w:t>
      </w:r>
    </w:p>
    <w:p>
      <w:r>
        <w:rPr>
          <w:rFonts w:ascii="Times New Roman" w:hAnsi="Times New Roman"/>
          <w:b w:val="0"/>
          <w:i w:val="0"/>
          <w:sz w:val="20"/>
        </w:rPr>
        <w:t>4. Denis, C., Hebiri, M., Zaoui, A. Regression with Reject Option and Application to kNN. NeurIPS 2020. preprint arXiv:2006.16597.</w:t>
      </w:r>
    </w:p>
    <w:p>
      <w:r>
        <w:rPr>
          <w:rFonts w:ascii="Times New Roman" w:hAnsi="Times New Roman"/>
          <w:b w:val="0"/>
          <w:i w:val="0"/>
          <w:sz w:val="20"/>
        </w:rPr>
        <w:t>5. Zhang, Y., Zhou, D., Chen, S., Gao, S., Ma, Y. Single-Image Crowd Counting via Multi-Column Convolutional Neural Network. CVPR 2016. https://doi.org/10.1109/CVPR.2016.70.</w:t>
      </w:r>
    </w:p>
    <w:p>
      <w:r>
        <w:rPr>
          <w:rFonts w:ascii="Times New Roman" w:hAnsi="Times New Roman"/>
          <w:b w:val="0"/>
          <w:i w:val="0"/>
          <w:sz w:val="20"/>
        </w:rPr>
        <w:t>6. Chen, Z., Wang, W., Cao, Y., et al. Expanding Performance Boundaries of Open-Source Multimodal Models with Model, Data, and Test-Time Scaling. preprint arXiv:2412.05271, 2024.</w:t>
      </w:r>
    </w:p>
    <w:p>
      <w:r>
        <w:rPr>
          <w:rFonts w:ascii="Times New Roman" w:hAnsi="Times New Roman"/>
          <w:b w:val="0"/>
          <w:i w:val="0"/>
          <w:sz w:val="20"/>
        </w:rPr>
        <w:t>7. Ranjan, V., Sharma, U., Nguyen, T., Hoai, M. Learning To Count Everything. CVPR 2021. preprint arXiv:2104.08391.</w:t>
      </w:r>
    </w:p>
    <w:p>
      <w:r>
        <w:rPr>
          <w:rFonts w:ascii="Times New Roman" w:hAnsi="Times New Roman"/>
          <w:b w:val="0"/>
          <w:i w:val="0"/>
          <w:sz w:val="20"/>
        </w:rPr>
        <w:t>8. Lempitsky, V., Zisserman, A. Learning To Count Objects in Images. NIPS 2010.</w:t>
      </w:r>
    </w:p>
    <w:p>
      <w:r>
        <w:rPr>
          <w:rFonts w:ascii="Times New Roman" w:hAnsi="Times New Roman"/>
          <w:b w:val="0"/>
          <w:i w:val="0"/>
          <w:sz w:val="20"/>
        </w:rPr>
        <w:t>9.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10.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11. Chow, C. K. On optimum recognition error and reject tradeoff. IEEE Trans. Inf. Theory 16 (1970) 41-46. https://doi.org/10.1109/TIT.1970.1054406.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