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Answered-zero outputs dominate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Symmetric magnitudes look alike: a count of 100 and one of 150.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base prompts</w:t>
      </w:r>
      <w:r>
        <w:rPr>
          <w:rFonts w:ascii="Times New Roman" w:hAnsi="Times New Roman"/>
          <w:b w:val="0"/>
          <w:i w:val="0"/>
          <w:sz w:val="20"/>
        </w:rPr>
        <w:t xml:space="preserve"> </w:t>
      </w:r>
      <w:r>
        <w:rPr>
          <w:rFonts w:ascii="Times New Roman" w:hAnsi="Times New Roman"/>
          <w:b/>
          <w:i w:val="0"/>
          <w:sz w:val="20"/>
        </w:rPr>
        <w:t>answered-zero outputs</w:t>
      </w:r>
      <w:r>
        <w:rPr>
          <w:rFonts w:ascii="Times New Roman" w:hAnsi="Times New Roman"/>
          <w:b w:val="0"/>
          <w:i w:val="0"/>
          <w:sz w:val="20"/>
        </w:rPr>
        <w:t xml:space="preserve"> account for </w:t>
      </w:r>
      <w:r>
        <w:rPr>
          <w:rFonts w:ascii="Times New Roman" w:hAnsi="Times New Roman"/>
          <w:b/>
          <w:i w:val="0"/>
          <w:sz w:val="20"/>
        </w:rPr>
        <w:t>82–94%</w:t>
      </w:r>
      <w:r>
        <w:rPr>
          <w:rFonts w:ascii="Times New Roman" w:hAnsi="Times New Roman"/>
          <w:b w:val="0"/>
          <w:i w:val="0"/>
          <w:sz w:val="20"/>
        </w:rPr>
        <w:t xml:space="preserve"> of the net under-count under ground-truth-weighted share (</w:t>
      </w:r>
      <w:r>
        <w:rPr>
          <w:rFonts w:ascii="Times New Roman" w:hAnsi="Times New Roman"/>
          <w:b/>
          <w:i w:val="0"/>
          <w:sz w:val="20"/>
        </w:rPr>
        <w:t>base arm</w:t>
      </w:r>
      <w:r>
        <w:rPr>
          <w:rFonts w:ascii="Times New Roman" w:hAnsi="Times New Roman"/>
          <w:b w:val="0"/>
          <w:i w:val="0"/>
          <w:sz w:val="20"/>
        </w:rPr>
        <w:t xml:space="preserve">); contract interventions change </w:t>
      </w:r>
      <w:r>
        <w:rPr>
          <w:rFonts w:ascii="Times New Roman" w:hAnsi="Times New Roman"/>
          <w:b/>
          <w:i w:val="0"/>
          <w:sz w:val="20"/>
        </w:rPr>
        <w:t>observable response channels</w:t>
      </w:r>
      <w:r>
        <w:rPr>
          <w:rFonts w:ascii="Times New Roman" w:hAnsi="Times New Roman"/>
          <w:b w:val="0"/>
          <w:i w:val="0"/>
          <w:sz w:val="20"/>
        </w:rPr>
        <w:t xml:space="preserve">, not each base response's </w:t>
      </w:r>
      <w:r>
        <w:rPr>
          <w:rFonts w:ascii="Times New Roman" w:hAnsi="Times New Roman"/>
          <w:b/>
          <w:i w:val="0"/>
          <w:sz w:val="20"/>
        </w:rPr>
        <w:t>latent state</w:t>
      </w:r>
      <w:r>
        <w:rPr>
          <w:rFonts w:ascii="Times New Roman" w:hAnsi="Times New Roman"/>
          <w:b w:val="0"/>
          <w:i w:val="0"/>
          <w:sz w:val="20"/>
        </w:rPr>
        <w:t xml:space="preserve">; reading the zero contribution as abstention </w:t>
      </w:r>
      <w:r>
        <w:rPr>
          <w:rFonts w:ascii="Times New Roman" w:hAnsi="Times New Roman"/>
          <w:b/>
          <w:i w:val="0"/>
          <w:sz w:val="20"/>
        </w:rPr>
        <w:t>requires channel purity and exhaustiveness</w:t>
      </w:r>
      <w:r>
        <w:rPr>
          <w:rFonts w:ascii="Times New Roman" w:hAnsi="Times New Roman"/>
          <w:b w:val="0"/>
          <w:i w:val="0"/>
          <w:sz w:val="20"/>
        </w:rPr>
        <w:t xml:space="preserve">, and the </w:t>
      </w:r>
      <w:r>
        <w:rPr>
          <w:rFonts w:ascii="Times New Roman" w:hAnsi="Times New Roman"/>
          <w:b/>
          <w:i w:val="0"/>
          <w:sz w:val="20"/>
        </w:rPr>
        <w:t>item-count</w:t>
      </w:r>
      <w:r>
        <w:rPr>
          <w:rFonts w:ascii="Times New Roman" w:hAnsi="Times New Roman"/>
          <w:b w:val="0"/>
          <w:i w:val="0"/>
          <w:sz w:val="20"/>
        </w:rPr>
        <w:t xml:space="preserve"> convention gives </w:t>
      </w:r>
      <w:r>
        <w:rPr>
          <w:rFonts w:ascii="Times New Roman" w:hAnsi="Times New Roman"/>
          <w:b/>
          <w:i w:val="0"/>
          <w:sz w:val="20"/>
        </w:rPr>
        <w:t>53.9–68.2%</w:t>
      </w:r>
      <w:r>
        <w:rPr>
          <w:rFonts w:ascii="Times New Roman" w:hAnsi="Times New Roman"/>
          <w:b w:val="0"/>
          <w:i w:val="0"/>
          <w:sz w:val="20"/>
        </w:rPr>
        <w:t xml:space="preserve">.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w:t>
      </w:r>
      <w:r>
        <w:rPr>
          <w:rFonts w:ascii="Times New Roman" w:hAnsi="Times New Roman"/>
          <w:b/>
          <w:i w:val="0"/>
          <w:sz w:val="20"/>
        </w:rPr>
        <w:t>availability of an abstention token</w:t>
      </w:r>
      <w:r>
        <w:rPr>
          <w:rFonts w:ascii="Times New Roman" w:hAnsi="Times New Roman"/>
          <w:b w:val="0"/>
          <w:i w:val="0"/>
          <w:sz w:val="20"/>
        </w:rPr>
        <w:t>, not demand.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w:t>
      </w:r>
      <w:r>
        <w:rPr>
          <w:rFonts w:ascii="Times New Roman" w:hAnsi="Times New Roman"/>
          <w:b/>
          <w:i w:val="0"/>
          <w:sz w:val="20"/>
        </w:rPr>
        <w:t>−82% → +234%</w:t>
      </w:r>
      <w:r>
        <w:rPr>
          <w:rFonts w:ascii="Times New Roman" w:hAnsi="Times New Roman"/>
          <w:b w:val="0"/>
          <w:i w:val="0"/>
          <w:sz w:val="20"/>
        </w:rPr>
        <w:t xml:space="preserve">). Direction span is a property of implementation × training domain × data domain × protocol, not a paradigm — </w:t>
      </w:r>
      <w:r>
        <w:rPr>
          <w:rFonts w:ascii="Times New Roman" w:hAnsi="Times New Roman"/>
          <w:b/>
          <w:i w:val="0"/>
          <w:sz w:val="20"/>
        </w:rPr>
        <w:t>2–3.4×</w:t>
      </w:r>
      <w:r>
        <w:rPr>
          <w:rFonts w:ascii="Times New Roman" w:hAnsi="Times New Roman"/>
          <w:b w:val="0"/>
          <w:i w:val="0"/>
          <w:sz w:val="20"/>
        </w:rPr>
        <w:t xml:space="preserve"> across implementations under a </w:t>
      </w:r>
      <w:r>
        <w:rPr>
          <w:rFonts w:ascii="Times New Roman" w:hAnsi="Times New Roman"/>
          <w:b/>
          <w:i w:val="0"/>
          <w:sz w:val="20"/>
        </w:rPr>
        <w:t>shared</w:t>
      </w:r>
      <w:r>
        <w:rPr>
          <w:rFonts w:ascii="Times New Roman" w:hAnsi="Times New Roman"/>
          <w:b w:val="0"/>
          <w:i w:val="0"/>
          <w:sz w:val="20"/>
        </w:rPr>
        <w:t xml:space="preserve"> protocol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answered-zero outputs account for </w:t>
      </w:r>
      <w:r>
        <w:rPr>
          <w:rFonts w:ascii="Times New Roman" w:hAnsi="Times New Roman"/>
          <w:b/>
          <w:i w:val="0"/>
          <w:sz w:val="20"/>
        </w:rPr>
        <w:t>82–94%</w:t>
      </w:r>
      <w:r>
        <w:rPr>
          <w:rFonts w:ascii="Times New Roman" w:hAnsi="Times New Roman"/>
          <w:b w:val="0"/>
          <w:i w:val="0"/>
          <w:sz w:val="20"/>
        </w:rPr>
        <w:t xml:space="preserve"> of the net under-count (</w:t>
      </w:r>
      <w:r>
        <w:rPr>
          <w:rFonts w:ascii="Times New Roman" w:hAnsi="Times New Roman"/>
          <w:b/>
          <w:i w:val="0"/>
          <w:sz w:val="20"/>
        </w:rPr>
        <w:t>base contract arm, Chinese prompts</w:t>
      </w:r>
      <w:r>
        <w:rPr>
          <w:rFonts w:ascii="Times New Roman" w:hAnsi="Times New Roman"/>
          <w:b w:val="0"/>
          <w:i w:val="0"/>
          <w:sz w:val="20"/>
        </w:rPr>
        <w:t xml:space="preserve">; the full range over arms and domains is in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on count-controlled grids arrangement and blur alone drive abstention to 90%, while on clean synthetic dots the same base arm neither abstains nor becomes directionally accurate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without harming direction.</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The prompt-strength dose–response: relaxation also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by lineage, build and domain; the per-cell bounds are stated in §8.2 and Appendices M.18–M.19.</w:t>
      </w:r>
    </w:p>
    <w:p>
      <w:r>
        <w:rPr>
          <w:rFonts w:ascii="Times New Roman" w:hAnsi="Times New Roman"/>
          <w:b w:val="0"/>
          <w:i w:val="0"/>
          <w:sz w:val="20"/>
        </w:rPr>
        <w:t>2. **Finding 2 — per-instance legibility gates whether a model answers, and it is a diagnostic, not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whose trade-offs are read on magnitude error.</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NMS IoU being a second such knob, and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are rarely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separated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about </w:t>
      </w:r>
      <w:r>
        <w:rPr>
          <w:rFonts w:ascii="Times New Roman" w:hAnsi="Times New Roman"/>
          <w:b/>
          <w:i w:val="0"/>
          <w:sz w:val="20"/>
        </w:rPr>
        <w:t>15%</w:t>
      </w:r>
      <w:r>
        <w:rPr>
          <w:rFonts w:ascii="Times New Roman" w:hAnsi="Times New Roman"/>
          <w:b w:val="0"/>
          <w:i w:val="0"/>
          <w:sz w:val="20"/>
        </w:rPr>
        <w:t>, while a locally controlled stack agrees at essentially 100% (batch ≤ 2);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 stated for classification, it is a naming convention for the counting map, not a validated calibration result.</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ground-truth-weighted under-count share S (Proposition 4), whose conditioning event and denominator are not those of the Proposition 7 channel coverage.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part of the spread across published counting numbers is a granularity artefact, not a modelling difference, so </w:t>
      </w:r>
      <w:r>
        <w:rPr>
          <w:rFonts w:ascii="Times New Roman" w:hAnsi="Times New Roman"/>
          <w:b/>
          <w:i w:val="0"/>
          <w:sz w:val="20"/>
        </w:rPr>
        <w:t>any counting evaluation must declare its target granularity explicitly</w:t>
      </w:r>
      <w:r>
        <w:rPr>
          <w:rFonts w:ascii="Times New Roman" w:hAnsi="Times New Roman"/>
          <w:b w:val="0"/>
          <w:i w:val="0"/>
          <w:sz w:val="20"/>
        </w:rPr>
        <w:t>.</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here,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M.20).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D.2;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not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not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write f=R/A and R/N for relative missed detection and absolute omission; a lineage with ratio κ identifies its </w:t>
      </w:r>
      <w:r>
        <w:rPr>
          <w:rFonts w:ascii="Times New Roman" w:hAnsi="Times New Roman"/>
          <w:b/>
          <w:i w:val="0"/>
          <w:sz w:val="20"/>
        </w:rPr>
        <w:t>answered-zero rate</w:t>
      </w:r>
      <w:r>
        <w:rPr>
          <w:rFonts w:ascii="Times New Roman" w:hAnsi="Times New Roman"/>
          <w:b w:val="0"/>
          <w:i w:val="0"/>
          <w:sz w:val="20"/>
        </w:rPr>
        <w:t xml:space="preserve"> only conditionally, the equality failing under an unverbalised true zero,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or localisation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 not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 reported side by side, their divergence fixed by that covariance.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licenses stratifying by legibility, not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 not a precision</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at the same three input sizes 640 / 1024 / 1536 px, against </w:t>
      </w:r>
      <w:r>
        <w:rPr>
          <w:rFonts w:ascii="Times New Roman" w:hAnsi="Times New Roman"/>
          <w:b/>
          <w:i w:val="0"/>
          <w:sz w:val="20"/>
        </w:rPr>
        <w:t>95.9 / 159.3 / 195.7 pp</w:t>
      </w:r>
      <w:r>
        <w:rPr>
          <w:rFonts w:ascii="Times New Roman" w:hAnsi="Times New Roman"/>
          <w:b w:val="0"/>
          <w:i w:val="0"/>
          <w:sz w:val="20"/>
        </w:rPr>
        <w:t xml:space="preserve"> for the in-domain weights (three levels),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The threshold-cleaning curve separating reachable from unreachable levels.</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Tiling moves UCF from unreachable to reachable (τ^\</w:t>
      </w:r>
      <w:r>
        <w:rPr>
          <w:rFonts w:ascii="Times New Roman" w:hAnsi="Times New Roman"/>
          <w:b w:val="0"/>
          <w:i w:val="0"/>
          <w:sz w:val="20"/>
        </w:rPr>
        <w:t xml:space="preserve"> 0.121–0.152): protocol and threshold jointly determine reachability.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and the pre-FPN architecture needs finer tiling to unseal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w:t>
      </w:r>
      <w:r>
        <w:rPr>
          <w:rFonts w:ascii="Times New Roman" w:hAnsi="Times New Roman"/>
          <w:b/>
          <w:i w:val="0"/>
          <w:sz w:val="20"/>
        </w:rPr>
        <w:t>GT-weighted under-count share of zero-output items</w:t>
      </w:r>
      <w:r>
        <w:rPr>
          <w:rFonts w:ascii="Times New Roman" w:hAnsi="Times New Roman"/>
          <w:b w:val="0"/>
          <w:i w:val="0"/>
          <w:sz w:val="20"/>
        </w:rPr>
        <w:t xml:space="preserv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(M.19.15: only the defining checkpoint's two precisions clear 50%) (three of twenty (language × build) cells leave the unit interval; M.18.9, M.19.16(ii), M.39, M.46(c)). </w:t>
      </w:r>
      <w:r>
        <w:rPr>
          <w:rFonts w:ascii="Times New Roman" w:hAnsi="Times New Roman"/>
          <w:b/>
          <w:i w:val="0"/>
          <w:sz w:val="20"/>
        </w:rPr>
        <w:t>This is the quantitative core of the paper's central claim (a share of the under-count,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gave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The four-panel separation of the two failure modes: abstention and under-count decouple.</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paired, n = 900); the gate reproduces in three further lineages on a controlled disc grid, where the permitted contract leaves no zeros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w:t>
      </w:r>
      <w:r>
        <w:rPr>
          <w:rFonts w:ascii="Times New Roman" w:hAnsi="Times New Roman"/>
          <w:b w:val="0"/>
          <w:i w:val="0"/>
          <w:sz w:val="20"/>
        </w:rPr>
        <w:t xml:space="preserve"> cannot obtain both.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(M.8). Proposition 4 expresses this gap as -(1-w)(1+ρ_answered), so these four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denominators are defined in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one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 xml:space="preserve">. This </w:t>
      </w:r>
      <w:r>
        <w:rPr>
          <w:rFonts w:ascii="Times New Roman" w:hAnsi="Times New Roman"/>
          <w:b w:val="0"/>
          <w:i/>
          <w:sz w:val="20"/>
        </w:rPr>
        <w:t>instrument-as-is</w:t>
      </w:r>
      <w:r>
        <w:rPr>
          <w:rFonts w:ascii="Times New Roman" w:hAnsi="Times New Roman"/>
          <w:b w:val="0"/>
          <w:i w:val="0"/>
          <w:sz w:val="20"/>
        </w:rPr>
        <w:t xml:space="preserve"> panel measures responses to a fixed people-counting prompt on FSC-147 images; since that target need not match the annotated category, these results give no standard FSC-147 counting accuracy and no implicit abstention, so the readings we give bound the contract effect and do not estimate it, and target-matched results need separate evaluation on those images:</w:t>
      </w:r>
    </w:p>
    <w:p>
      <w:r>
        <w:rPr>
          <w:rFonts w:ascii="Times New Roman" w:hAnsi="Times New Roman"/>
          <w:b/>
          <w:i w:val="0"/>
          <w:sz w:val="20"/>
        </w:rPr>
        <w:t>Table 6.</w:t>
      </w:r>
      <w:r>
        <w:rPr>
          <w:rFonts w:ascii="Times New Roman" w:hAnsi="Times New Roman"/>
          <w:b w:val="0"/>
          <w:i w:val="0"/>
          <w:sz w:val="20"/>
        </w:rPr>
        <w:t xml:space="preserve"> The contract gate on FSC-147 (</w:t>
      </w:r>
      <w:r>
        <w:rPr>
          <w:rFonts w:ascii="Times New Roman" w:hAnsi="Times New Roman"/>
          <w:b w:val="0"/>
          <w:i/>
          <w:sz w:val="20"/>
        </w:rPr>
        <w:t>instrument-as-is</w:t>
      </w:r>
      <w:r>
        <w:rPr>
          <w:rFonts w:ascii="Times New Roman" w:hAnsi="Times New Roman"/>
          <w:b w:val="0"/>
          <w:i w:val="0"/>
          <w:sz w:val="20"/>
        </w:rPr>
        <w:t>;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five of those lineages appearing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on sparse aerial items whose ground truth is one to three objects — a missed tiny target, not a refused outlet — and deepseek-vl2-tiny leaves </w:t>
      </w:r>
      <w:r>
        <w:rPr>
          <w:rFonts w:ascii="Times New Roman" w:hAnsi="Times New Roman"/>
          <w:b/>
          <w:i w:val="0"/>
          <w:sz w:val="20"/>
        </w:rPr>
        <w:t>48.28%</w:t>
      </w:r>
      <w:r>
        <w:rPr>
          <w:rFonts w:ascii="Times New Roman" w:hAnsi="Times New Roman"/>
          <w:b w:val="0"/>
          <w:i w:val="0"/>
          <w:sz w:val="20"/>
        </w:rPr>
        <w:t xml:space="preserve">, never abstaining in the aerial domains while its dense-domain output is 99% unparsable,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not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 </w:t>
      </w:r>
      <w:r>
        <w:rPr>
          <w:rFonts w:ascii="Times New Roman" w:hAnsi="Times New Roman"/>
          <w:b/>
          <w:i w:val="0"/>
          <w:sz w:val="20"/>
        </w:rPr>
        <w:t>On hosted endpoints the zero answer is contract-dependent,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xml:space="preserve">). An observable zero answer can therefore be removed by the contract here too; whether the same latent state underlies it is </w:t>
      </w:r>
      <w:r>
        <w:rPr>
          <w:rFonts w:ascii="Times New Roman" w:hAnsi="Times New Roman"/>
          <w:b/>
          <w:i w:val="0"/>
          <w:sz w:val="20"/>
        </w:rPr>
        <w:t>not identified</w:t>
      </w:r>
      <w:r>
        <w:rPr>
          <w:rFonts w:ascii="Times New Roman" w:hAnsi="Times New Roman"/>
          <w:b w:val="0"/>
          <w:i w:val="0"/>
          <w:sz w:val="20"/>
        </w:rPr>
        <w:t>.</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stable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so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w:t>
      </w:r>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still comes out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bootstrap that resamples whole units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while the wider resampling gives </w:t>
      </w:r>
      <w:r>
        <w:rPr>
          <w:rFonts w:ascii="Times New Roman" w:hAnsi="Times New Roman"/>
          <w:b/>
          <w:i w:val="0"/>
          <w:sz w:val="20"/>
        </w:rPr>
        <w:t>0.711–0.998</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also comes out </w:t>
      </w:r>
      <w:r>
        <w:rPr>
          <w:rFonts w:ascii="Times New Roman" w:hAnsi="Times New Roman"/>
          <w:b/>
          <w:i w:val="0"/>
          <w:sz w:val="20"/>
        </w:rPr>
        <w:t>exactly</w:t>
      </w:r>
      <w:r>
        <w:rPr>
          <w:rFonts w:ascii="Times New Roman" w:hAnsi="Times New Roman"/>
          <w:b w:val="0"/>
          <w:i w:val="0"/>
          <w:sz w:val="20"/>
        </w:rPr>
        <w:t xml:space="preserve"> the same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granularity validated here does so while preserving the ordering, so transfer is unverified rather than excluded</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 travel (Appendix F.10;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r>
        <w:rPr>
          <w:rFonts w:ascii="Times New Roman" w:hAnsi="Times New Roman"/>
          <w:b w:val="0"/>
          <w:i w:val="0"/>
          <w:sz w:val="20"/>
        </w:rPr>
        <w:t xml:space="preserve"> </w:t>
      </w:r>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is descriptive, and our own candidate for the magnitude (Proposition 3) is a component of the definition and is withdrawn;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The three annotation-free signals (cross-scale, cross-phrasing, cross-family agreement)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Records are kept only for completely paired inputs: the base arm's zero set is the denominator for every arm, and a missing arm reads as an undecidable partial, not a dropped denominator (M.22). Released API summaries give the checks only; the per-call records and the driver that lets one rebuild them ship with the package (M.11.2, M.37).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and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 </w:t>
      </w:r>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and §4.5's properties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interpretation rests on a two-channel assumption.</w:t>
      </w:r>
      <w:r>
        <w:rPr>
          <w:rFonts w:ascii="Times New Roman" w:hAnsi="Times New Roman"/>
          <w:b w:val="0"/>
          <w:i w:val="0"/>
          <w:sz w:val="20"/>
        </w:rPr>
        <w:t xml:space="preserve"> It is </w:t>
      </w:r>
      <w:r>
        <w:rPr>
          <w:rFonts w:ascii="Times New Roman" w:hAnsi="Times New Roman"/>
          <w:b/>
          <w:i w:val="0"/>
          <w:sz w:val="20"/>
        </w:rPr>
        <w:t>partly testable</w:t>
      </w:r>
      <w:r>
        <w:rPr>
          <w:rFonts w:ascii="Times New Roman" w:hAnsi="Times New Roman"/>
          <w:b w:val="0"/>
          <w:i w:val="0"/>
          <w:sz w:val="20"/>
        </w:rPr>
        <w:t xml:space="preserve">, and its observable part is tested (§5.7): the controls measure the way the outlets are </w:t>
      </w:r>
      <w:r>
        <w:rPr>
          <w:rFonts w:ascii="Times New Roman" w:hAnsi="Times New Roman"/>
          <w:b w:val="0"/>
          <w:i/>
          <w:sz w:val="20"/>
        </w:rPr>
        <w:t>used</w:t>
      </w:r>
      <w:r>
        <w:rPr>
          <w:rFonts w:ascii="Times New Roman" w:hAnsi="Times New Roman"/>
          <w:b w:val="0"/>
          <w:i w:val="0"/>
          <w:sz w:val="20"/>
        </w:rPr>
        <w:t xml:space="preserve"> on the pools we state, not whether every answered zero is latent abstention.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bears on that condition: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on the same </w:t>
      </w:r>
      <w:r>
        <w:rPr>
          <w:rFonts w:ascii="Times New Roman" w:hAnsi="Times New Roman"/>
          <w:b w:val="0"/>
          <w:i/>
          <w:sz w:val="20"/>
        </w:rPr>
        <w:t>instrument-as-is</w:t>
      </w:r>
      <w:r>
        <w:rPr>
          <w:rFonts w:ascii="Times New Roman" w:hAnsi="Times New Roman"/>
          <w:b w:val="0"/>
          <w:i w:val="0"/>
          <w:sz w:val="20"/>
        </w:rPr>
        <w:t xml:space="preserve"> panel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Table 3 pp terms the fallback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carries a </w:t>
      </w:r>
      <w:r>
        <w:rPr>
          <w:rFonts w:ascii="Times New Roman" w:hAnsi="Times New Roman"/>
          <w:b/>
          <w:i w:val="0"/>
          <w:sz w:val="20"/>
        </w:rPr>
        <w:t>~1.3% item-level stack band</w:t>
      </w:r>
      <w:r>
        <w:rPr>
          <w:rFonts w:ascii="Times New Roman" w:hAnsi="Times New Roman"/>
          <w:b w:val="0"/>
          <w:i w:val="0"/>
          <w:sz w:val="20"/>
        </w:rPr>
        <w:t xml:space="preserve">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not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(Appendix G.1, G.2 quote each as frozen); the rest are post hoc, including the tiling level, weight set and aggregation convention, so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for one anchor build under Chinese prompts and GT weighting, the observed failure is an answered-zero output rather than a signed under-estimate;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observed contract-dependence of the answered zero</w:t>
      </w:r>
      <w:r>
        <w:rPr>
          <w:rFonts w:ascii="Times New Roman" w:hAnsi="Times New Roman"/>
          <w:b w:val="0"/>
          <w:i w:val="0"/>
          <w:sz w:val="20"/>
        </w:rPr>
        <w:t xml:space="preserve">: the channel through which a model declines to answer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 </w:t>
      </w:r>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i w:val="0"/>
          <w:sz w:val="20"/>
        </w:rPr>
        <w:t>Author contributions.</w:t>
      </w:r>
      <w:r>
        <w:rPr>
          <w:rFonts w:ascii="Times New Roman" w:hAnsi="Times New Roman"/>
          <w:b w:val="0"/>
          <w:i w:val="0"/>
          <w:sz w:val="20"/>
        </w:rPr>
        <w:t xml:space="preserve"> Conceptualization, methodology, software, validation, formal analysis, investigation, resources, data curation, writing — original draft, writing — review and editing, visualization, supervision, project administration: the author.</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 xml:space="preserve">The image corpora are public datasets, cited above. The derived per-image prediction records, analysis scripts and run logs that recompute the released aggregate numbers are released or flagged at https://github.com/YBP2005/P3 (CC BY 4.0), with per-file MD5s; the release-only gate and inputs absent from the package are in </w:t>
      </w:r>
      <w:r>
        <w:rPr>
          <w:rFonts w:ascii="Times New Roman" w:hAnsi="Times New Roman"/>
          <w:b w:val="0"/>
          <w:i/>
          <w:sz w:val="20"/>
        </w:rPr>
        <w:t>README.md</w:t>
      </w:r>
      <w:r>
        <w:rPr>
          <w:rFonts w:ascii="Times New Roman" w:hAnsi="Times New Roman"/>
          <w:b w:val="0"/>
          <w:i w:val="0"/>
          <w:sz w:val="20"/>
        </w:rPr>
        <w:t xml:space="preserve">. </w:t>
      </w:r>
      <w:r>
        <w:rPr>
          <w:rFonts w:ascii="Times New Roman" w:hAnsi="Times New Roman"/>
          <w:b w:val="0"/>
          <w:i/>
          <w:sz w:val="20"/>
        </w:rPr>
        <w:t>MANIFEST.csv</w:t>
      </w:r>
      <w:r>
        <w:rPr>
          <w:rFonts w:ascii="Times New Roman" w:hAnsi="Times New Roman"/>
          <w:b w:val="0"/>
          <w:i w:val="0"/>
          <w:sz w:val="20"/>
        </w:rPr>
        <w:t xml:space="preserve"> lists the tree path by path with each file's byte count and MD5; an independent audit checked the bytes and the MD5s of a </w:t>
      </w:r>
      <w:r>
        <w:rPr>
          <w:rFonts w:ascii="Times New Roman" w:hAnsi="Times New Roman"/>
          <w:b/>
          <w:i w:val="0"/>
          <w:sz w:val="20"/>
        </w:rPr>
        <w:t>selected subset</w:t>
      </w:r>
      <w:r>
        <w:rPr>
          <w:rFonts w:ascii="Times New Roman" w:hAnsi="Times New Roman"/>
          <w:b w:val="0"/>
          <w:i w:val="0"/>
          <w:sz w:val="20"/>
        </w:rPr>
        <w:t xml:space="preserve"> of those records and not of every one, so listed-file coverage holds for that subset alone, and integrity says nothing about whether the analyses are correct.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