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for a rejection rule. The framework cannot be transplanted directly — abstention must first be </w:t>
      </w:r>
      <w:r>
        <w:rPr>
          <w:rFonts w:ascii="Times New Roman" w:hAnsi="Times New Roman"/>
          <w:b/>
          <w:i w:val="0"/>
          <w:sz w:val="20"/>
        </w:rPr>
        <w:t>operationalised and validated</w:t>
      </w:r>
      <w:r>
        <w:rPr>
          <w:rFonts w:ascii="Times New Roman" w:hAnsi="Times New Roman"/>
          <w:b w:val="0"/>
          <w:i w:val="0"/>
          <w:sz w:val="20"/>
        </w:rPr>
        <w:t xml:space="preserve"> in the counting domain (§3.6, Proposition 1) — and that step exposed the received reading's problem.</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42.5%</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separating split is </w:t>
      </w:r>
      <w:r>
        <w:rPr>
          <w:rFonts w:ascii="Times New Roman" w:hAnsi="Times New Roman"/>
          <w:b/>
          <w:i w:val="0"/>
          <w:sz w:val="20"/>
        </w:rPr>
        <w:t>1.6 pp</w:t>
      </w:r>
      <w:r>
        <w:rPr>
          <w:rFonts w:ascii="Times New Roman" w:hAnsi="Times New Roman"/>
          <w:b w:val="0"/>
          <w:i w:val="0"/>
          <w:sz w:val="20"/>
        </w:rPr>
        <w:t xml:space="preserve">, below our own noise floor (2.15–6.46 pp),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 §5.12 then shows what a single convention costs: the two conventions reorder the configurations (Spearman </w:t>
      </w:r>
      <w:r>
        <w:rPr>
          <w:rFonts w:ascii="Times New Roman" w:hAnsi="Times New Roman"/>
          <w:b/>
          <w:i w:val="0"/>
          <w:sz w:val="20"/>
        </w:rPr>
        <w:t>0.476–1.000</w:t>
      </w:r>
      <w:r>
        <w:rPr>
          <w:rFonts w:ascii="Times New Roman" w:hAnsi="Times New Roman"/>
          <w:b w:val="0"/>
          <w:i w:val="0"/>
          <w:sz w:val="20"/>
        </w:rPr>
        <w:t xml:space="preserve">) and move one configuration's bias by up to </w:t>
      </w:r>
      <w:r>
        <w:rPr>
          <w:rFonts w:ascii="Times New Roman" w:hAnsi="Times New Roman"/>
          <w:b/>
          <w:i w:val="0"/>
          <w:sz w:val="20"/>
        </w:rPr>
        <w:t>48.2 pp</w:t>
      </w:r>
      <w:r>
        <w:rPr>
          <w:rFonts w:ascii="Times New Roman" w:hAnsi="Times New Roman"/>
          <w:b w:val="0"/>
          <w:i w:val="0"/>
          <w:sz w:val="20"/>
        </w:rPr>
        <w:t>.</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 xml:space="preserve">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 §7.3 adds </w:t>
      </w:r>
      <w:r>
        <w:rPr>
          <w:rFonts w:ascii="Times New Roman" w:hAnsi="Times New Roman"/>
          <w:b/>
          <w:i w:val="0"/>
          <w:sz w:val="20"/>
        </w:rPr>
        <w:t>signed direction</w:t>
      </w:r>
      <w:r>
        <w:rPr>
          <w:rFonts w:ascii="Times New Roman" w:hAnsi="Times New Roman"/>
          <w:b w:val="0"/>
          <w:i w:val="0"/>
          <w:sz w:val="20"/>
        </w:rPr>
        <w:t xml:space="preserve"> to that comparison: a method that systematically over-counts and one that systematically under-counts can otherwise be reported as equivalent, and the paradigm label predicts span far more weakly than the implementation does.</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abstention is gated by per-instance legibility, not by object count, and is demonstrable in the aerial domains where the dense domains saturate under an explicit abstention contract (Appendix M.18)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 Three boundaries delimit the comparison: dependent variable (accuracy versus signed direction and abstention), data (everyday versus aerial, microscopy and dense-crowd scenes), and contrast design (in-domain versus zero-shot weights, input protocol controlled).</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initially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and that aggregate quantities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 The statistical protocol and the non-determinism declaration are in Appendix A.</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and recent work notes that granularity is usually left implicit ([22]; [23]).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(blur 9.1% vs. downsampling 0.6%, </w:t>
      </w:r>
      <w:r>
        <w:rPr>
          <w:rFonts w:ascii="Times New Roman" w:hAnsi="Times New Roman"/>
          <w:b/>
          <w:i w:val="0"/>
          <w:sz w:val="20"/>
        </w:rPr>
        <w:t>+8.6 pp</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not its headline: it tells a downstream user </w:t>
      </w:r>
      <w:r>
        <w:rPr>
          <w:rFonts w:ascii="Times New Roman" w:hAnsi="Times New Roman"/>
          <w:b w:val="0"/>
          <w:i/>
          <w:sz w:val="20"/>
        </w:rPr>
        <w:t>which images to trust the number on</w:t>
      </w:r>
      <w:r>
        <w:rPr>
          <w:rFonts w:ascii="Times New Roman" w:hAnsi="Times New Roman"/>
          <w:b w:val="0"/>
          <w:i w:val="0"/>
          <w:sz w:val="20"/>
        </w:rPr>
        <w:t xml:space="preserv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 §7.7 states what a deployable rule would have to satisfy; §5.12 shows that the paper's own conclusions do not depend on this variable.</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 xml:space="preserve">Abstention is our leading indicator, so its operationalisation is stated item by item rather than left as "the predicted total is zero". </w:t>
      </w:r>
      <w:r>
        <w:rPr>
          <w:rFonts w:ascii="Times New Roman" w:hAnsi="Times New Roman"/>
          <w:b/>
          <w:i w:val="0"/>
          <w:sz w:val="20"/>
        </w:rPr>
        <w:t>Appendix B</w:t>
      </w:r>
      <w:r>
        <w:rPr>
          <w:rFonts w:ascii="Times New Roman" w:hAnsi="Times New Roman"/>
          <w:b w:val="0"/>
          <w:i w:val="0"/>
          <w:sz w:val="20"/>
        </w:rPr>
        <w:t xml:space="preserve"> carries the full protocol;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lineage-stratified answer.</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the abstention rate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abstention rate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 xml:space="preserve">; the figure and table plan of §3.9 is </w:t>
      </w:r>
      <w:r>
        <w:rPr>
          <w:rFonts w:ascii="Times New Roman" w:hAnsi="Times New Roman"/>
          <w:b/>
          <w:i w:val="0"/>
          <w:sz w:val="20"/>
        </w:rPr>
        <w:t>Appendix D.4</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This is a reporting identity of the same form as the answer-propensity / conditional-composition decomposition we use elsewhere [46]; what is in question is where the movement goes on this corpus, and it is the one behind the </w:t>
      </w:r>
      <w:r>
        <w:rPr>
          <w:rFonts w:ascii="Times New Roman" w:hAnsi="Times New Roman"/>
          <w:b/>
          <w:i w:val="0"/>
          <w:sz w:val="20"/>
        </w:rPr>
        <w:t>82–94%</w:t>
      </w:r>
      <w:r>
        <w:rPr>
          <w:rFonts w:ascii="Times New Roman" w:hAnsi="Times New Roman"/>
          <w:b w:val="0"/>
          <w:i w:val="0"/>
          <w:sz w:val="20"/>
        </w:rPr>
        <w:t xml:space="preserve"> of §5.5 for the </w:t>
      </w:r>
      <w:r>
        <w:rPr>
          <w:rFonts w:ascii="Times New Roman" w:hAnsi="Times New Roman"/>
          <w:b/>
          <w:i w:val="0"/>
          <w:sz w:val="20"/>
        </w:rPr>
        <w:t>base contract arm</w:t>
      </w:r>
      <w:r>
        <w:rPr>
          <w:rFonts w:ascii="Times New Roman" w:hAnsi="Times New Roman"/>
          <w:b w:val="0"/>
          <w:i w:val="0"/>
          <w:sz w:val="20"/>
        </w:rPr>
        <w:t>.</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has headroom in both pools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It is a usable availability test, </w:t>
      </w:r>
      <w:r>
        <w:rPr>
          <w:rFonts w:ascii="Times New Roman" w:hAnsi="Times New Roman"/>
          <w:b/>
          <w:i w:val="0"/>
          <w:sz w:val="20"/>
        </w:rPr>
        <w:t>not</w:t>
      </w:r>
      <w:r>
        <w:rPr>
          <w:rFonts w:ascii="Times New Roman" w:hAnsi="Times New Roman"/>
          <w:b w:val="0"/>
          <w:i w:val="0"/>
          <w:sz w:val="20"/>
        </w:rPr>
        <w:t xml:space="preserve"> a predictor of how large the span will be (§7.3).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 This converts an unexplained ceiling into a design rule.</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sz w:val="20"/>
        </w:rPr>
        <w:t xml:space="preserve"> for YOLO (UCF 0.121 → 0.176 → 0.173; ShanghaiTech-A unreachable → 0.260 → 0.183). Full ladders in </w:t>
      </w:r>
      <w:r>
        <w:rPr>
          <w:rFonts w:ascii="Times New Roman" w:hAnsi="Times New Roman"/>
          <w:b w:val="0"/>
          <w:i/>
          <w:sz w:val="20"/>
        </w:rPr>
        <w:t>Appendix E</w:t>
      </w:r>
      <w:r>
        <w:rPr>
          <w:rFonts w:ascii="Times New Roman" w:hAnsi="Times New Roman"/>
          <w:b w:val="0"/>
          <w:i w:val="0"/>
          <w:sz w:val="20"/>
        </w:rPr>
        <w:t>*.</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 The dense and aerial domains, where the effects of interest live, are the subject of the remaining subsections.</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 The consequence is the one stated in §3.2: numbers are not comparable across studies unless the target granularity is declared.</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M.39, M.46(c)). </w:t>
      </w:r>
      <w:r>
        <w:rPr>
          <w:rFonts w:ascii="Times New Roman" w:hAnsi="Times New Roman"/>
          <w:b/>
          <w:i w:val="0"/>
          <w:sz w:val="20"/>
        </w:rPr>
        <w:t>This is the quantitative core of the paper's central claim: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(§8.1).</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42.5%</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42.5%</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t>
      </w:r>
      <w:r>
        <w:rPr>
          <w:rFonts w:ascii="Times New Roman" w:hAnsi="Times New Roman"/>
          <w:b/>
          <w:i w:val="0"/>
          <w:sz w:val="20"/>
        </w:rPr>
        <w:t>Legibility decides *whether* to answer, not *which way* to be wrong.</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no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 F.9 is an illustration only; the load-bearing ordering evidence is the </w:t>
      </w:r>
      <w:r>
        <w:rPr>
          <w:rFonts w:ascii="Times New Roman" w:hAnsi="Times New Roman"/>
          <w:b/>
          <w:i w:val="0"/>
          <w:sz w:val="20"/>
        </w:rPr>
        <w:t>recomputable</w:t>
      </w:r>
      <w:r>
        <w:rPr>
          <w:rFonts w:ascii="Times New Roman" w:hAnsi="Times New Roman"/>
          <w:b w:val="0"/>
          <w:i w:val="0"/>
          <w:sz w:val="20"/>
        </w:rPr>
        <w:t xml:space="preserve"> set of Appendix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Six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w:t>
      </w:r>
      <w:r>
        <w:rPr>
          <w:rFonts w:ascii="Times New Roman" w:hAnsi="Times New Roman"/>
          <w:b/>
          <w:i w:val="0"/>
          <w:sz w:val="20"/>
        </w:rPr>
        <w:t>the share holds at BF16; the rate does not</w:t>
      </w:r>
      <w:r>
        <w:rPr>
          <w:rFonts w:ascii="Times New Roman" w:hAnsi="Times New Roman"/>
          <w:b w:val="0"/>
          <w:i w:val="0"/>
          <w:sz w:val="20"/>
        </w:rPr>
        <w:t xml:space="preserve">; eight of nine further families and builds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unmeasured rather than clipped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18–22 pp on the </w:t>
      </w:r>
      <w:r>
        <w:rPr>
          <w:rFonts w:ascii="Times New Roman" w:hAnsi="Times New Roman"/>
          <w:b/>
          <w:i w:val="0"/>
          <w:sz w:val="20"/>
        </w:rPr>
        <w:t>BF16</w:t>
      </w:r>
      <w:r>
        <w:rPr>
          <w:rFonts w:ascii="Times New Roman" w:hAnsi="Times New Roman"/>
          <w:b w:val="0"/>
          <w:i w:val="0"/>
          <w:sz w:val="20"/>
        </w:rPr>
        <w:t xml:space="preserve"> build, against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hardware cannot select the latter — so they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the separated-cluster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