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among the tested interventions, 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with characteristic trade-offs, and magnitude error is the axis on which they are compared.</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does not fix the covariance's sign or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A new synthetic-dot experiment holds the rendering fixed: count predicts correctness, not abstention. β = −4.2059, CI [−4.6465, −3.7653], 49.9% → 2.1% → 0.5% (11,232 = primary; contrast in M.11.1).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Read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one verdict flips</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read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and they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the VLM contract arm's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(cluster-level;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we report is descriptive. Our own candidate for the magnitude (Proposition 3) is a component of the definition and is withdrawn, so a magnitude law remains open;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The three annotation-free signals tested do not form the rule defined above</w:t>
      </w:r>
      <w:r>
        <w:rPr>
          <w:rFonts w:ascii="Times New Roman" w:hAnsi="Times New Roman"/>
          <w:b w:val="0"/>
          <w:i w:val="0"/>
          <w:sz w:val="20"/>
        </w:rPr>
        <w:t xml:space="preserve">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 it must come from outside the answers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