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among the tested interventions, 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with characteristic trade-offs, and magnitude error is the axis on which they are compared.</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and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does not fix the covariance's sign or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M.19.16(ii),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A new synthetic-dot experiment holds the rendering fixed: count predicts correctness, not abstention. β = −4.2059, CI [−4.6465, −3.7653], 49.9% → 2.1% → 0.5% (11,232 = primary; contrast in M.11.1).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Read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three verdicts flip</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read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(≤6%), seven at the frozen ≤5%.</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(Appendix M.31.2). That is a fixed, partially protocol-deviating panel statement, not a population interval over families.</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and they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the VLM contract arm's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we report is descriptive. Our own candidate for the magnitude (Proposition 3) is a component of the definition and is withdrawn, so a magnitude law remains open;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The three annotation-free signals tested do not form the rule defined above</w:t>
      </w:r>
      <w:r>
        <w:rPr>
          <w:rFonts w:ascii="Times New Roman" w:hAnsi="Times New Roman"/>
          <w:b w:val="0"/>
          <w:i w:val="0"/>
          <w:sz w:val="20"/>
        </w:rPr>
        <w:t xml:space="preserve">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 it must come from outside the answers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w (not Proposition 4's ground-truth-weighted w); the two deviations need reference counts on the same scored subset, so without them only that diagnosis is licensed.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