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w:t>
      </w:r>
      <w:r>
        <w:rPr>
          <w:rFonts w:ascii="Times New Roman" w:hAnsi="Times New Roman"/>
          <w:b/>
          <w:i w:val="0"/>
          <w:sz w:val="20"/>
        </w:rPr>
        <w:t>in these cells</w:t>
      </w:r>
      <w:r>
        <w:rPr>
          <w:rFonts w:ascii="Times New Roman" w:hAnsi="Times New Roman"/>
          <w:b w:val="0"/>
          <w:i w:val="0"/>
          <w:sz w:val="20"/>
        </w:rPr>
        <w:t xml:space="preserv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but sit in </w:t>
      </w:r>
      <w:r>
        <w:rPr>
          <w:rFonts w:ascii="Times New Roman" w:hAnsi="Times New Roman"/>
          <w:b/>
          <w:i w:val="0"/>
          <w:sz w:val="20"/>
        </w:rPr>
        <w:t>classification, question answering and reasoning</w:t>
      </w:r>
      <w:r>
        <w:rPr>
          <w:rFonts w:ascii="Times New Roman" w:hAnsi="Times New Roman"/>
          <w:b w:val="0"/>
          <w:i w:val="0"/>
          <w:sz w:val="20"/>
        </w:rPr>
        <w:t xml:space="preserve">, where abstention is </w:t>
      </w:r>
      <w:r>
        <w:rPr>
          <w:rFonts w:ascii="Times New Roman" w:hAnsi="Times New Roman"/>
          <w:b/>
          <w:i w:val="0"/>
          <w:sz w:val="20"/>
        </w:rPr>
        <w:t>explicitly declared</w:t>
      </w:r>
      <w:r>
        <w:rPr>
          <w:rFonts w:ascii="Times New Roman" w:hAnsi="Times New Roman"/>
          <w:b w:val="0"/>
          <w:i w:val="0"/>
          <w:sz w:val="20"/>
        </w:rPr>
        <w:t xml:space="preserve">. Counting differs in three ways: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so its acceptability is a deployment question; and there is </w:t>
      </w:r>
      <w:r>
        <w:rPr>
          <w:rFonts w:ascii="Times New Roman" w:hAnsi="Times New Roman"/>
          <w:b/>
          <w:i w:val="0"/>
          <w:sz w:val="20"/>
        </w:rPr>
        <w:t>no dependable confidence</w:t>
      </w:r>
      <w:r>
        <w:rPr>
          <w:rFonts w:ascii="Times New Roman" w:hAnsi="Times New Roman"/>
          <w:b w:val="0"/>
          <w:i w:val="0"/>
          <w:sz w:val="20"/>
        </w:rPr>
        <w:t xml:space="preserve"> for a rejection rule. The framework cannot be transplanted directly — abstention must first be </w:t>
      </w:r>
      <w:r>
        <w:rPr>
          <w:rFonts w:ascii="Times New Roman" w:hAnsi="Times New Roman"/>
          <w:b/>
          <w:i w:val="0"/>
          <w:sz w:val="20"/>
        </w:rPr>
        <w:t>operationalised and validated</w:t>
      </w:r>
      <w:r>
        <w:rPr>
          <w:rFonts w:ascii="Times New Roman" w:hAnsi="Times New Roman"/>
          <w:b w:val="0"/>
          <w:i w:val="0"/>
          <w:sz w:val="20"/>
        </w:rPr>
        <w:t xml:space="preserve"> in the counting domain (§3.6, Proposition 1) — and that step exposed the received reading's problem.</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50%</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[3]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[4]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[5]</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[6]. Comparative work treats them as paradigms with characteristic trade-offs, and magnitude error is the axis on which they are compared; one controlled benchmark organises its probes by complexity [7].</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([8] and successors). A parallel and largely separate literature studies abstention: selective prediction [9],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it is gated by per-instance legibility, not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[5],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(batch ≤ 2), and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[5];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[4]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rather than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that build's two-source comparison is licensed (the other three builds' two-source agreement there is largely a saturation product, Appendix M.32(c)), and  remains unknown (Appendix M.21)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(three levels)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M.39, M.46(c)). </w:t>
      </w:r>
      <w:r>
        <w:rPr>
          <w:rFonts w:ascii="Times New Roman" w:hAnsi="Times New Roman"/>
          <w:b/>
          <w:i w:val="0"/>
          <w:sz w:val="20"/>
        </w:rPr>
        <w:t>This is the quantitative core of the paper's central claim (a coverage of the abstention channel,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for the three decision forms tested here: across those forms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[5]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which is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75eeca6fa68c9be65c2b569d4237d8df</w:t>
      </w:r>
      <w:r>
        <w:rPr>
          <w:rFonts w:ascii="Times New Roman" w:hAnsi="Times New Roman"/>
          <w:b w:val="0"/>
          <w:i w:val="0"/>
          <w:sz w:val="20"/>
        </w:rPr>
        <w:t xml:space="preserve">;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as printed in Appendix M.31.2.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no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 xml:space="preserve">Three further measurement properties matter here, with protocols in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density-regression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(cluster-level; recomputed from the released package, Appendix F.7);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under the level sets compared: </w:t>
      </w:r>
      <w:r>
        <w:rPr>
          <w:rFonts w:ascii="Times New Roman" w:hAnsi="Times New Roman"/>
          <w:b/>
          <w:i w:val="0"/>
          <w:sz w:val="20"/>
        </w:rPr>
        <w:t>rank knobs by this ordering, and quote a magnitude only with the grid density and the calibration caliber that produced it, and only within the level sets compared.</w:t>
      </w:r>
      <w:r>
        <w:rPr>
          <w:rFonts w:ascii="Times New Roman" w:hAnsi="Times New Roman"/>
          <w:b w:val="0"/>
          <w:i w:val="0"/>
          <w:sz w:val="20"/>
        </w:rPr>
        <w:t xml:space="preserve"> Our own candidate for the magnitude (Proposition 3) is a component of the definition and is withdrawn, so a magnitude law remains open — but the ordering rule is what a practitioner needs to choose between knobs, and it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and they are direction readings, Appendix M.46(a)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Six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shares of §5.5 are therefore scoped to the prompt language and to the </w:t>
      </w:r>
      <w:r>
        <w:rPr>
          <w:rFonts w:ascii="Times New Roman" w:hAnsi="Times New Roman"/>
          <w:b/>
          <w:i w:val="0"/>
          <w:sz w:val="20"/>
        </w:rPr>
        <w:t>one anchor build</w:t>
      </w:r>
      <w:r>
        <w:rPr>
          <w:rFonts w:ascii="Times New Roman" w:hAnsi="Times New Roman"/>
          <w:b w:val="0"/>
          <w:i w:val="0"/>
          <w:sz w:val="20"/>
        </w:rPr>
        <w:t xml:space="preserve"> measured here (</w:t>
      </w:r>
      <w:r>
        <w:rPr>
          <w:rFonts w:ascii="Times New Roman" w:hAnsi="Times New Roman"/>
          <w:b/>
          <w:i w:val="0"/>
          <w:sz w:val="20"/>
        </w:rPr>
        <w:t>the share holds at BF16; the rate does not</w:t>
      </w:r>
      <w:r>
        <w:rPr>
          <w:rFonts w:ascii="Times New Roman" w:hAnsi="Times New Roman"/>
          <w:b w:val="0"/>
          <w:i w:val="0"/>
          <w:sz w:val="20"/>
        </w:rPr>
        <w:t xml:space="preserve">; eight of nine further families and builds fall short;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unmeasured rather than clipped, the two pp terms of Table 3 being the fallback there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on that build carries a </w:t>
      </w:r>
      <w:r>
        <w:rPr>
          <w:rFonts w:ascii="Times New Roman" w:hAnsi="Times New Roman"/>
          <w:b/>
          <w:i w:val="0"/>
          <w:sz w:val="20"/>
        </w:rPr>
        <w:t>~1.3% item-level stack band</w:t>
      </w:r>
      <w:r>
        <w:rPr>
          <w:rFonts w:ascii="Times New Roman" w:hAnsi="Times New Roman"/>
          <w:b w:val="0"/>
          <w:i w:val="0"/>
          <w:sz w:val="20"/>
        </w:rPr>
        <w:t xml:space="preserve">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Zhang, Y., Zhou, D., Chen, S., Gao, S., Ma, Y. Single-Image Crowd Counting via Multi-Column Convolutional Neural Network. CVPR 2016. https://doi.org/10.1109/CVPR.2016.70.</w:t>
      </w:r>
    </w:p>
    <w:p>
      <w:r>
        <w:rPr>
          <w:rFonts w:ascii="Times New Roman" w:hAnsi="Times New Roman"/>
          <w:b w:val="0"/>
          <w:i w:val="0"/>
          <w:sz w:val="20"/>
        </w:rPr>
        <w:t>4. Chen, Z., Wang, W., Cao, Y., et al. Expanding Performance Boundaries of Open-Source Multimodal Models with Model, Data, and Test-Time Scaling. preprint arXiv:2412.05271, 2024.</w:t>
      </w:r>
    </w:p>
    <w:p>
      <w:r>
        <w:rPr>
          <w:rFonts w:ascii="Times New Roman" w:hAnsi="Times New Roman"/>
          <w:b w:val="0"/>
          <w:i w:val="0"/>
          <w:sz w:val="20"/>
        </w:rPr>
        <w:t>5. Ranjan, V., Sharma, U., Nguyen, T., Hoai, M. Learning To Count Everything. CVPR 2021. preprint arXiv:2104.08391.</w:t>
      </w:r>
    </w:p>
    <w:p>
      <w:r>
        <w:rPr>
          <w:rFonts w:ascii="Times New Roman" w:hAnsi="Times New Roman"/>
          <w:b w:val="0"/>
          <w:i w:val="0"/>
          <w:sz w:val="20"/>
        </w:rPr>
        <w:t>6. Lempitsky, V., Zisserman, A. Learning To Count Objects in Images. NIPS 2010.</w:t>
      </w:r>
    </w:p>
    <w:p>
      <w:r>
        <w:rPr>
          <w:rFonts w:ascii="Times New Roman" w:hAnsi="Times New Roman"/>
          <w:b w:val="0"/>
          <w:i w:val="0"/>
          <w:sz w:val="20"/>
        </w:rPr>
        <w:t>7. Chen, Y.-Y., Guo, L.-Z. TriViewBench: Controlled Complexity Scaling for Multi-View Structural Reasoning in MLLMs. preprint arXiv:2606.26029, 2026.</w:t>
      </w:r>
    </w:p>
    <w:p>
      <w:r>
        <w:rPr>
          <w:rFonts w:ascii="Times New Roman" w:hAnsi="Times New Roman"/>
          <w:b w:val="0"/>
          <w:i w:val="0"/>
          <w:sz w:val="20"/>
        </w:rPr>
        <w:t>8.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9.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10. Chow, C. K. On optimum recognition error and reject tradeoff. IEEE Trans. Inf. Theory 16 (1970) 41-46. https://doi.org/10.1109/TIT.1970.1054406.</w:t>
      </w:r>
    </w:p>
    <w:p>
      <w:r>
        <w:rPr>
          <w:rFonts w:ascii="Times New Roman" w:hAnsi="Times New Roman"/>
          <w:b w:val="0"/>
          <w:i w:val="0"/>
          <w:sz w:val="20"/>
        </w:rPr>
        <w:t>11. Hendrycks, D., Gimpel, K. A Baseline for Detecting Misclassified and Out-of-Distribution Examples in Neural Networks. preprint arXiv:1610.02136, 2016.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