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for counting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the open-weight models studied here (§5.7, §8.2), the dominant dense-scene failure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the ground-truth-weighted share (</w:t>
      </w:r>
      <w:r>
        <w:rPr>
          <w:rFonts w:ascii="Times New Roman" w:hAnsi="Times New Roman"/>
          <w:b/>
          <w:i w:val="0"/>
          <w:sz w:val="20"/>
        </w:rPr>
        <w:t>base arm, Chinese prompts, one anchor build</w:t>
      </w:r>
      <w:r>
        <w:rPr>
          <w:rFonts w:ascii="Times New Roman" w:hAnsi="Times New Roman"/>
          <w:b w:val="0"/>
          <w:i w:val="0"/>
          <w:sz w:val="20"/>
        </w:rPr>
        <w:t xml:space="preserve">; the </w:t>
      </w:r>
      <w:r>
        <w:rPr>
          <w:rFonts w:ascii="Times New Roman" w:hAnsi="Times New Roman"/>
          <w:b/>
          <w:i w:val="0"/>
          <w:sz w:val="20"/>
        </w:rPr>
        <w:t>unweighted</w:t>
      </w:r>
      <w:r>
        <w:rPr>
          <w:rFonts w:ascii="Times New Roman" w:hAnsi="Times New Roman"/>
          <w:b w:val="0"/>
          <w:i w:val="0"/>
          <w:sz w:val="20"/>
        </w:rPr>
        <w:t xml:space="preserve"> convention gives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under English prompts</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Appendix M). The gate is the </w:t>
      </w:r>
      <w:r>
        <w:rPr>
          <w:rFonts w:ascii="Times New Roman" w:hAnsi="Times New Roman"/>
          <w:b/>
          <w:i w:val="0"/>
          <w:sz w:val="20"/>
        </w:rPr>
        <w:t>availability of an abstention token</w:t>
      </w:r>
      <w:r>
        <w:rPr>
          <w:rFonts w:ascii="Times New Roman" w:hAnsi="Times New Roman"/>
          <w:b w:val="0"/>
          <w:i w:val="0"/>
          <w:sz w:val="20"/>
        </w:rPr>
        <w:t>, not enumeration demand (Appendix M.18). Abstention is a behaviour, not a capability ceiling: gated by legibility rather than count, removable by tiling (</w:t>
      </w:r>
      <w:r>
        <w:rPr>
          <w:rFonts w:ascii="Times New Roman" w:hAnsi="Times New Roman"/>
          <w:b/>
          <w:i w:val="0"/>
          <w:sz w:val="20"/>
        </w:rPr>
        <w:t>56.6% → 0.0%</w:t>
      </w:r>
      <w:r>
        <w:rPr>
          <w:rFonts w:ascii="Times New Roman" w:hAnsi="Times New Roman"/>
          <w:b w:val="0"/>
          <w:i w:val="0"/>
          <w:sz w:val="20"/>
        </w:rPr>
        <w:t xml:space="preserve">)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and items), </w:t>
      </w:r>
      <w:r>
        <w:rPr>
          <w:rFonts w:ascii="Times New Roman" w:hAnsi="Times New Roman"/>
          <w:b/>
          <w:i w:val="0"/>
          <w:sz w:val="20"/>
        </w:rPr>
        <w:t>3.5×</w:t>
      </w:r>
      <w:r>
        <w:rPr>
          <w:rFonts w:ascii="Times New Roman" w:hAnsi="Times New Roman"/>
          <w:b w:val="0"/>
          <w:i w:val="0"/>
          <w:sz w:val="20"/>
        </w:rPr>
        <w:t xml:space="preserve"> under a training-domain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Appendix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Object counting is used in surveillance and resource scheduling, where the costs of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w:t>
      </w:r>
      <w:r>
        <w:rPr>
          <w:rFonts w:ascii="Times New Roman" w:hAnsi="Times New Roman"/>
          <w:b/>
          <w:i w:val="0"/>
          <w:sz w:val="20"/>
        </w:rPr>
        <w:t>signed direction</w:t>
      </w:r>
      <w:r>
        <w:rPr>
          <w:rFonts w:ascii="Times New Roman" w:hAnsi="Times New Roman"/>
          <w:b w:val="0"/>
          <w:i w:val="0"/>
          <w:sz w:val="20"/>
        </w:rPr>
        <w:t xml:space="preserve"> of the error has therefore remained implicit. Our first question is: </w:t>
      </w:r>
      <w:r>
        <w:rPr>
          <w:rFonts w:ascii="Times New Roman" w:hAnsi="Times New Roman"/>
          <w:b w:val="0"/>
          <w:i/>
          <w:sz w:val="20"/>
        </w:rPr>
        <w:t>can the error direction of a counting system be manipulated systematically, and what determines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answering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 one anchor build</w:t>
      </w:r>
      <w:r>
        <w:rPr>
          <w:rFonts w:ascii="Times New Roman" w:hAnsi="Times New Roman"/>
          <w:b w:val="0"/>
          <w:i w:val="0"/>
          <w:sz w:val="20"/>
        </w:rPr>
        <w:t xml:space="preserve">; over all arms and domains the share spans </w:t>
      </w:r>
      <w:r>
        <w:rPr>
          <w:rFonts w:ascii="Times New Roman" w:hAnsi="Times New Roman"/>
          <w:b/>
          <w:i w:val="0"/>
          <w:sz w:val="20"/>
        </w:rPr>
        <w:t>0–99.4%</w:t>
      </w:r>
      <w:r>
        <w:rPr>
          <w:rFonts w:ascii="Times New Roman" w:hAnsi="Times New Roman"/>
          <w:b w:val="0"/>
          <w:i w:val="0"/>
          <w:sz w:val="20"/>
        </w:rPr>
        <w:t xml:space="preserve"> — the </w:t>
      </w:r>
      <w:r>
        <w:rPr>
          <w:rFonts w:ascii="Times New Roman" w:hAnsi="Times New Roman"/>
          <w:b w:val="0"/>
          <w:i/>
          <w:sz w:val="20"/>
        </w:rPr>
        <w:t>over</w:t>
      </w:r>
      <w:r>
        <w:rPr>
          <w:rFonts w:ascii="Times New Roman" w:hAnsi="Times New Roman"/>
          <w:b w:val="0"/>
          <w:i w:val="0"/>
          <w:sz w:val="20"/>
        </w:rPr>
        <w:t xml:space="preserve"> arm never abstains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under English prompts</w:t>
      </w:r>
      <w:r>
        <w:rPr>
          <w:rFonts w:ascii="Times New Roman" w:hAnsi="Times New Roman"/>
          <w:b w:val="0"/>
          <w:i w:val="0"/>
          <w:sz w:val="20"/>
        </w:rPr>
        <w:t xml:space="preserve"> (Appendix M.39)).</w:t>
      </w:r>
    </w:p>
    <w:p>
      <w:r>
        <w:rPr>
          <w:rFonts w:ascii="Times New Roman" w:hAnsi="Times New Roman"/>
          <w:b w:val="0"/>
          <w:i w:val="0"/>
          <w:sz w:val="20"/>
        </w:rPr>
        <w:t>The distinction changes three things.</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under conventional aggregation, as </w:t>
      </w:r>
      <w:r>
        <w:rPr>
          <w:rFonts w:ascii="Times New Roman" w:hAnsi="Times New Roman"/>
          <w:b w:val="0"/>
          <w:i/>
          <w:sz w:val="20"/>
        </w:rPr>
        <w:t>mild underestimation</w:t>
      </w:r>
      <w:r>
        <w:rPr>
          <w:rFonts w:ascii="Times New Roman" w:hAnsi="Times New Roman"/>
          <w:b w:val="0"/>
          <w:i w:val="0"/>
          <w:sz w:val="20"/>
        </w:rPr>
        <w:t xml:space="preserve"> — whereas on six images in ten it produces </w:t>
      </w:r>
      <w:r>
        <w:rPr>
          <w:rFonts w:ascii="Times New Roman" w:hAnsi="Times New Roman"/>
          <w:b/>
          <w:i w:val="0"/>
          <w:sz w:val="20"/>
        </w:rPr>
        <w:t>no estimate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 to correct.</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they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on which to build a rejection rule. The framework cannot be transplanted directly — abstention must first be </w:t>
      </w:r>
      <w:r>
        <w:rPr>
          <w:rFonts w:ascii="Times New Roman" w:hAnsi="Times New Roman"/>
          <w:b/>
          <w:i w:val="0"/>
          <w:sz w:val="20"/>
        </w:rPr>
        <w:t>operationalised and that operationalisation validated</w:t>
      </w:r>
      <w:r>
        <w:rPr>
          <w:rFonts w:ascii="Times New Roman" w:hAnsi="Times New Roman"/>
          <w:b w:val="0"/>
          <w:i w:val="0"/>
          <w:sz w:val="20"/>
        </w:rPr>
        <w:t xml:space="preserve"> in the counting domain (§3.6, Proposition 1) — and it was this step that exposed the problem with the received reading.</w:t>
      </w:r>
    </w:p>
    <w:p>
      <w:r>
        <w:rPr>
          <w:rFonts w:ascii="Times New Roman" w:hAnsi="Times New Roman"/>
          <w:b/>
          <w:i w:val="0"/>
          <w:sz w:val="20"/>
        </w:rPr>
        <w:t>Four properties of abstention (main results).</w:t>
      </w:r>
      <w:r>
        <w:rPr>
          <w:rFonts w:ascii="Times New Roman" w:hAnsi="Times New Roman"/>
          <w:b w:val="0"/>
          <w:i w:val="0"/>
          <w:sz w:val="20"/>
        </w:rPr>
        <w:t xml:space="preserve"> </w:t>
      </w:r>
      <w:r>
        <w:rPr>
          <w:rFonts w:ascii="Times New Roman" w:hAnsi="Times New Roman"/>
          <w:b/>
          <w:i w:val="0"/>
          <w:sz w:val="20"/>
        </w:rPr>
        <w:t>① Measurable, with a lineage-specific expression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if a lineage abstained mainly in natural language, its ratio of answered-zero to textual refusal would approach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43%</w:t>
      </w:r>
      <w:r>
        <w:rPr>
          <w:rFonts w:ascii="Times New Roman" w:hAnsi="Times New Roman"/>
          <w:b w:val="0"/>
          <w:i w:val="0"/>
          <w:sz w:val="20"/>
        </w:rPr>
        <w:t xml:space="preserve">, and in microscopy abstention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because it is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separating split is </w:t>
      </w:r>
      <w:r>
        <w:rPr>
          <w:rFonts w:ascii="Times New Roman" w:hAnsi="Times New Roman"/>
          <w:b/>
          <w:i w:val="0"/>
          <w:sz w:val="20"/>
        </w:rPr>
        <w:t>1.6 pp</w:t>
      </w:r>
      <w:r>
        <w:rPr>
          <w:rFonts w:ascii="Times New Roman" w:hAnsi="Times New Roman"/>
          <w:b w:val="0"/>
          <w:i w:val="0"/>
          <w:sz w:val="20"/>
        </w:rPr>
        <w:t xml:space="preserve">, below our own noise floor (2.15–6.46 pp),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We present the identities of §3.8 and the appendices as </w:t>
      </w:r>
      <w:r>
        <w:rPr>
          <w:rFonts w:ascii="Times New Roman" w:hAnsi="Times New Roman"/>
          <w:b/>
          <w:i w:val="0"/>
          <w:sz w:val="20"/>
        </w:rPr>
        <w:t>that apparatus</w:t>
      </w:r>
      <w:r>
        <w:rPr>
          <w:rFonts w:ascii="Times New Roman" w:hAnsi="Times New Roman"/>
          <w:b w:val="0"/>
          <w:i w:val="0"/>
          <w:sz w:val="20"/>
        </w:rPr>
        <w:t xml:space="preserve">, not as findings: they are arithmetic, and their role is that every headline number is either recomputed from the released records or labelled a transcription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one of the seven having offered only </w:t>
      </w:r>
      <w:r>
        <w:rPr>
          <w:rFonts w:ascii="Times New Roman" w:hAnsi="Times New Roman"/>
          <w:b/>
          <w:i w:val="0"/>
          <w:sz w:val="20"/>
        </w:rPr>
        <w:t>9 zeros</w:t>
      </w:r>
      <w:r>
        <w:rPr>
          <w:rFonts w:ascii="Times New Roman" w:hAnsi="Times New Roman"/>
          <w:b w:val="0"/>
          <w:i w:val="0"/>
          <w:sz w:val="20"/>
        </w:rPr>
        <w:t xml:space="preserve"> to remove.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 </w:t>
      </w:r>
      <w:r>
        <w:rPr>
          <w:rFonts w:ascii="Times New Roman" w:hAnsi="Times New Roman"/>
          <w:b/>
          <w:i w:val="0"/>
          <w:sz w:val="20"/>
        </w:rPr>
        <w:t>one</w:t>
      </w:r>
      <w:r>
        <w:rPr>
          <w:rFonts w:ascii="Times New Roman" w:hAnsi="Times New Roman"/>
          <w:b w:val="0"/>
          <w:i w:val="0"/>
          <w:sz w:val="20"/>
        </w:rPr>
        <w:t xml:space="preserve"> build — the one that defined the pool;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 §5.12 then shows what a single convention costs: the two conventions reorder the configurations (Spearman </w:t>
      </w:r>
      <w:r>
        <w:rPr>
          <w:rFonts w:ascii="Times New Roman" w:hAnsi="Times New Roman"/>
          <w:b/>
          <w:i w:val="0"/>
          <w:sz w:val="20"/>
        </w:rPr>
        <w:t>0.476–1.000</w:t>
      </w:r>
      <w:r>
        <w:rPr>
          <w:rFonts w:ascii="Times New Roman" w:hAnsi="Times New Roman"/>
          <w:b w:val="0"/>
          <w:i w:val="0"/>
          <w:sz w:val="20"/>
        </w:rPr>
        <w:t xml:space="preserve">) and move one configuration's bias by up to </w:t>
      </w:r>
      <w:r>
        <w:rPr>
          <w:rFonts w:ascii="Times New Roman" w:hAnsi="Times New Roman"/>
          <w:b/>
          <w:i w:val="0"/>
          <w:sz w:val="20"/>
        </w:rPr>
        <w:t>48.2 pp</w:t>
      </w:r>
      <w:r>
        <w:rPr>
          <w:rFonts w:ascii="Times New Roman" w:hAnsi="Times New Roman"/>
          <w:b w:val="0"/>
          <w:i w:val="0"/>
          <w:sz w:val="20"/>
        </w:rPr>
        <w:t>.</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 What each does not cover is in §8.</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 xml:space="preserve">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 §7.3 adds </w:t>
      </w:r>
      <w:r>
        <w:rPr>
          <w:rFonts w:ascii="Times New Roman" w:hAnsi="Times New Roman"/>
          <w:b/>
          <w:i w:val="0"/>
          <w:sz w:val="20"/>
        </w:rPr>
        <w:t>signed direction</w:t>
      </w:r>
      <w:r>
        <w:rPr>
          <w:rFonts w:ascii="Times New Roman" w:hAnsi="Times New Roman"/>
          <w:b w:val="0"/>
          <w:i w:val="0"/>
          <w:sz w:val="20"/>
        </w:rPr>
        <w:t xml:space="preserve"> to that comparison: a method that systematically over-counts and one that systematically under-counts can otherwise be reported as equivalent, and the paradigm label predicts span far more weakly than the implementation does.</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abstention is gated by per-instance legibility, not by object count, and is demonstrable in the aerial domains where the dense domains saturate under an explicit abstention contract (Appendix M.18)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 Three boundaries delimit the comparison: dependent variable (accuracy versus signed direction and abstention), data (everyday versus aerial, microscopy and dense-crowd scenes), and contrast design (in-domain versus zero-shot weights, input protocol controlled).</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initially came from single samples. Repeat sampling shows that item-level reproducibility for a hosted API is only about </w:t>
      </w:r>
      <w:r>
        <w:rPr>
          <w:rFonts w:ascii="Times New Roman" w:hAnsi="Times New Roman"/>
          <w:b/>
          <w:i w:val="0"/>
          <w:sz w:val="20"/>
        </w:rPr>
        <w:t>15%</w:t>
      </w:r>
      <w:r>
        <w:rPr>
          <w:rFonts w:ascii="Times New Roman" w:hAnsi="Times New Roman"/>
          <w:b w:val="0"/>
          <w:i w:val="0"/>
          <w:sz w:val="20"/>
        </w:rPr>
        <w:t>, while a locally controlled stack agrees at essentially 100%, and that aggregate quantities are far more stable.</w:t>
      </w:r>
    </w:p>
    <w:p>
      <w:r>
        <w:rPr>
          <w:rFonts w:ascii="Times New Roman" w:hAnsi="Times New Roman"/>
          <w:b w:val="0"/>
          <w:i w:val="0"/>
          <w:sz w:val="20"/>
        </w:rPr>
        <w:t>(Appendix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 The statistical protocol and the non-determinism declaration are in Appendix A.</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and recent work notes that granularity is usually left implicit ([22]; [23]).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(blur 9.1% vs. downsampling 0.6%, </w:t>
      </w:r>
      <w:r>
        <w:rPr>
          <w:rFonts w:ascii="Times New Roman" w:hAnsi="Times New Roman"/>
          <w:b/>
          <w:i w:val="0"/>
          <w:sz w:val="20"/>
        </w:rPr>
        <w:t>+8.6 pp</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not its headline: it tells a downstream user </w:t>
      </w:r>
      <w:r>
        <w:rPr>
          <w:rFonts w:ascii="Times New Roman" w:hAnsi="Times New Roman"/>
          <w:b w:val="0"/>
          <w:i/>
          <w:sz w:val="20"/>
        </w:rPr>
        <w:t>which images to trust the number on</w:t>
      </w:r>
      <w:r>
        <w:rPr>
          <w:rFonts w:ascii="Times New Roman" w:hAnsi="Times New Roman"/>
          <w:b w:val="0"/>
          <w:i w:val="0"/>
          <w:sz w:val="20"/>
        </w:rPr>
        <w:t xml:space="preserv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 §7.7 states what a deployable rule would have to satisfy; §5.12 shows that the paper's own conclusions do not depend on this variable.</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 xml:space="preserve">Abstention is our leading indicator, so its operationalisation is stated item by item rather than left as "the predicted total is zero". </w:t>
      </w:r>
      <w:r>
        <w:rPr>
          <w:rFonts w:ascii="Times New Roman" w:hAnsi="Times New Roman"/>
          <w:b/>
          <w:i w:val="0"/>
          <w:sz w:val="20"/>
        </w:rPr>
        <w:t>Appendix B</w:t>
      </w:r>
      <w:r>
        <w:rPr>
          <w:rFonts w:ascii="Times New Roman" w:hAnsi="Times New Roman"/>
          <w:b w:val="0"/>
          <w:i w:val="0"/>
          <w:sz w:val="20"/>
        </w:rPr>
        <w:t xml:space="preserve"> carries the full protocol;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lineage-stratified answer.</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bounded rather than merely disclosed</w:t>
      </w:r>
      <w:r>
        <w:rPr>
          <w:rFonts w:ascii="Times New Roman" w:hAnsi="Times New Roman"/>
          <w:b w:val="0"/>
          <w:i w:val="0"/>
          <w:sz w:val="20"/>
        </w:rPr>
        <w:t xml:space="preserve">: by Proposition 7, a lineage with ratio κ identifies the abstention rate only to within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abstention rate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 xml:space="preserve">; the figure and table plan of §3.9 is </w:t>
      </w:r>
      <w:r>
        <w:rPr>
          <w:rFonts w:ascii="Times New Roman" w:hAnsi="Times New Roman"/>
          <w:b/>
          <w:i w:val="0"/>
          <w:sz w:val="20"/>
        </w:rPr>
        <w:t>Appendix D.4</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This is a reporting identity of the same form as the answer-propensity / conditional-composition decomposition we use elsewhere [46]; what is in question is where the movement goes on this corpus, and it is the one behind the </w:t>
      </w:r>
      <w:r>
        <w:rPr>
          <w:rFonts w:ascii="Times New Roman" w:hAnsi="Times New Roman"/>
          <w:b/>
          <w:i w:val="0"/>
          <w:sz w:val="20"/>
        </w:rPr>
        <w:t>82–94%</w:t>
      </w:r>
      <w:r>
        <w:rPr>
          <w:rFonts w:ascii="Times New Roman" w:hAnsi="Times New Roman"/>
          <w:b w:val="0"/>
          <w:i w:val="0"/>
          <w:sz w:val="20"/>
        </w:rPr>
        <w:t xml:space="preserve"> of §5.5 for the </w:t>
      </w:r>
      <w:r>
        <w:rPr>
          <w:rFonts w:ascii="Times New Roman" w:hAnsi="Times New Roman"/>
          <w:b/>
          <w:i w:val="0"/>
          <w:sz w:val="20"/>
        </w:rPr>
        <w:t>base contract arm</w:t>
      </w:r>
      <w:r>
        <w:rPr>
          <w:rFonts w:ascii="Times New Roman" w:hAnsi="Times New Roman"/>
          <w:b w:val="0"/>
          <w:i w:val="0"/>
          <w:sz w:val="20"/>
        </w:rPr>
        <w:t>.</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the </w:t>
      </w:r>
      <w:r>
        <w:rPr>
          <w:rFonts w:ascii="Times New Roman" w:hAnsi="Times New Roman"/>
          <w:b w:val="0"/>
          <w:i/>
          <w:sz w:val="20"/>
        </w:rPr>
        <w:t>base</w:t>
      </w:r>
      <w:r>
        <w:rPr>
          <w:rFonts w:ascii="Times New Roman" w:hAnsi="Times New Roman"/>
          <w:b w:val="0"/>
          <w:i w:val="0"/>
          <w:sz w:val="20"/>
        </w:rPr>
        <w:t xml:space="preserve"> contract three of four builds answer zero on </w:t>
      </w:r>
      <w:r>
        <w:rPr>
          <w:rFonts w:ascii="Times New Roman" w:hAnsi="Times New Roman"/>
          <w:b/>
          <w:i w:val="0"/>
          <w:sz w:val="20"/>
        </w:rPr>
        <w:t>98–100%</w:t>
      </w:r>
      <w:r>
        <w:rPr>
          <w:rFonts w:ascii="Times New Roman" w:hAnsi="Times New Roman"/>
          <w:b w:val="0"/>
          <w:i w:val="0"/>
          <w:sz w:val="20"/>
        </w:rPr>
        <w:t xml:space="preserve"> of the aerial pool S-1, and only one </w:t>
      </w:r>
      <w:r>
        <w:rPr>
          <w:rFonts w:ascii="Times New Roman" w:hAnsi="Times New Roman"/>
          <w:b/>
          <w:i w:val="0"/>
          <w:sz w:val="20"/>
        </w:rPr>
        <w:t>build</w:t>
      </w:r>
      <w:r>
        <w:rPr>
          <w:rFonts w:ascii="Times New Roman" w:hAnsi="Times New Roman"/>
          <w:b w:val="0"/>
          <w:i w:val="0"/>
          <w:sz w:val="20"/>
        </w:rPr>
        <w:t xml:space="preserve"> has headroom in both pools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pool's items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appear where their claim is stated; the list is in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It is a usable availability test, </w:t>
      </w:r>
      <w:r>
        <w:rPr>
          <w:rFonts w:ascii="Times New Roman" w:hAnsi="Times New Roman"/>
          <w:b/>
          <w:i w:val="0"/>
          <w:sz w:val="20"/>
        </w:rPr>
        <w:t>not</w:t>
      </w:r>
      <w:r>
        <w:rPr>
          <w:rFonts w:ascii="Times New Roman" w:hAnsi="Times New Roman"/>
          <w:b w:val="0"/>
          <w:i w:val="0"/>
          <w:sz w:val="20"/>
        </w:rPr>
        <w:t xml:space="preserve"> a predictor of how large the span will be (§7.3).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 This converts an unexplained ceiling into a design rule.</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r>
        <w:rPr>
          <w:rFonts w:ascii="Times New Roman" w:hAnsi="Times New Roman"/>
          <w:b w:val="0"/>
          <w:i w:val="0"/>
          <w:sz w:val="20"/>
        </w:rPr>
        <w:t>(Appendix E)</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 The dense and aerial domains, where the effects of interest live, are the subject of the remaining subsections.</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 The consequence is the one stated in §3.2: numbers are not comparable across studies unless the target granularity is declared.</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(unweighted)</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(Terms are pp of the pooled relative deviation and sum to it exactly; S is the ground-truth-weighted share and the last column the same abstention term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(§8.1).</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43%</w:t>
      </w:r>
      <w:r>
        <w:rPr>
          <w:rFonts w:ascii="Times New Roman" w:hAnsi="Times New Roman"/>
          <w:b w:val="0"/>
          <w:i w:val="0"/>
          <w:sz w:val="20"/>
        </w:rPr>
        <w:t xml:space="preserve"> in relative deviation (not an abstention share; Appendix C.3)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43%</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t>
      </w:r>
      <w:r>
        <w:rPr>
          <w:rFonts w:ascii="Times New Roman" w:hAnsi="Times New Roman"/>
          <w:b/>
          <w:i w:val="0"/>
          <w:sz w:val="20"/>
        </w:rPr>
        <w:t>Legibility decides *whether* to answer, not *which way* to be wrong.</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On this benchmark the convention moves magnitudes, not the ranking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w:t>
      </w:r>
      <w:r>
        <w:rPr>
          <w:rFonts w:ascii="Times New Roman" w:hAnsi="Times New Roman"/>
          <w:b w:val="0"/>
          <w:i w:val="0"/>
          <w:sz w:val="20"/>
        </w:rPr>
        <w:t>, 1 inversion of 36) — the same asymmetry §5.12 reports for the decision forms. Its sensitivity to the input scale is bounded in Appendix M.41.</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 F.9 is an illustration only; the load-bearing ordering evidence is the </w:t>
      </w:r>
      <w:r>
        <w:rPr>
          <w:rFonts w:ascii="Times New Roman" w:hAnsi="Times New Roman"/>
          <w:b/>
          <w:i w:val="0"/>
          <w:sz w:val="20"/>
        </w:rPr>
        <w:t>recomputable</w:t>
      </w:r>
      <w:r>
        <w:rPr>
          <w:rFonts w:ascii="Times New Roman" w:hAnsi="Times New Roman"/>
          <w:b w:val="0"/>
          <w:i w:val="0"/>
          <w:sz w:val="20"/>
        </w:rPr>
        <w:t xml:space="preserve"> set of Appendix M.37.</w:t>
      </w:r>
    </w:p>
    <w:p>
      <w:r>
        <w:rPr>
          <w:rFonts w:ascii="Times New Roman" w:hAnsi="Times New Roman"/>
          <w:b/>
          <w:i w:val="0"/>
          <w:sz w:val="20"/>
        </w:rPr>
        <w:t>The ordering is stable under the two obvious deflations, and we report it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 label-permutation test gives p&lt;5×10^-5; leaving out any single knob keeps it at </w:t>
      </w:r>
      <w:r>
        <w:rPr>
          <w:rFonts w:ascii="Times New Roman" w:hAnsi="Times New Roman"/>
          <w:b/>
          <w:i w:val="0"/>
          <w:sz w:val="20"/>
        </w:rPr>
        <w:t>0.883–0.970</w:t>
      </w:r>
      <w:r>
        <w:rPr>
          <w:rFonts w:ascii="Times New Roman" w:hAnsi="Times New Roman"/>
          <w:b w:val="0"/>
          <w:i w:val="0"/>
          <w:sz w:val="20"/>
        </w:rPr>
        <w:t xml:space="preserve">; per-unit spans with their own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w:t>
      </w:r>
      <w:r>
        <w:rPr>
          <w:rFonts w:ascii="Times New Roman" w:hAnsi="Times New Roman"/>
          <w:b/>
          <w:i w:val="0"/>
          <w:sz w:val="20"/>
        </w:rPr>
        <w:t>not</w:t>
      </w:r>
      <w:r>
        <w:rPr>
          <w:rFonts w:ascii="Times New Roman" w:hAnsi="Times New Roman"/>
          <w:b w:val="0"/>
          <w:i w:val="0"/>
          <w:sz w:val="20"/>
        </w:rPr>
        <w:t xml:space="preserve">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0.548</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per-knob </w:t>
      </w:r>
      <w:r>
        <w:rPr>
          <w:rFonts w:ascii="Times New Roman" w:hAnsi="Times New Roman"/>
          <w:b/>
          <w:i w:val="0"/>
          <w:sz w:val="20"/>
        </w:rPr>
        <w:t>0.790</w:t>
      </w:r>
      <w:r>
        <w:rPr>
          <w:rFonts w:ascii="Times New Roman" w:hAnsi="Times New Roman"/>
          <w:b w:val="0"/>
          <w:i w:val="0"/>
          <w:sz w:val="20"/>
        </w:rPr>
        <w:t xml:space="preserve">, per-unit </w:t>
      </w:r>
      <w:r>
        <w:rPr>
          <w:rFonts w:ascii="Times New Roman" w:hAnsi="Times New Roman"/>
          <w:b/>
          <w:i w:val="0"/>
          <w:sz w:val="20"/>
        </w:rPr>
        <w:t>0.536</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disclosed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are itemised there, one of them a dead parse branch; </w:t>
      </w:r>
      <w:r>
        <w:rPr>
          <w:rFonts w:ascii="Times New Roman" w:hAnsi="Times New Roman"/>
          <w:b/>
          <w:i w:val="0"/>
          <w:sz w:val="20"/>
        </w:rPr>
        <w:t>Run-to-run non-determinism</w:t>
      </w:r>
      <w:r>
        <w:rPr>
          <w:rFonts w:ascii="Times New Roman" w:hAnsi="Times New Roman"/>
          <w:b w:val="0"/>
          <w:i w:val="0"/>
          <w:sz w:val="20"/>
        </w:rPr>
        <w:t xml:space="preserve"> is characterised below; </w:t>
      </w:r>
      <w:r>
        <w:rPr>
          <w:rFonts w:ascii="Times New Roman" w:hAnsi="Times New Roman"/>
          <w:b/>
          <w:i w:val="0"/>
          <w:sz w:val="20"/>
        </w:rPr>
        <w:t>Graded isolation</w:t>
      </w:r>
      <w:r>
        <w:rPr>
          <w:rFonts w:ascii="Times New Roman" w:hAnsi="Times New Roman"/>
          <w:b w:val="0"/>
          <w:i w:val="0"/>
          <w:sz w:val="20"/>
        </w:rPr>
        <w:t xml:space="preserve"> carries a residue ledger; </w:t>
      </w:r>
      <w:r>
        <w:rPr>
          <w:rFonts w:ascii="Times New Roman" w:hAnsi="Times New Roman"/>
          <w:b/>
          <w:i w:val="0"/>
          <w:sz w:val="20"/>
        </w:rPr>
        <w:t>a census of anomalous predictions</w:t>
      </w:r>
      <w:r>
        <w:rPr>
          <w:rFonts w:ascii="Times New Roman" w:hAnsi="Times New Roman"/>
          <w:b w:val="0"/>
          <w:i w:val="0"/>
          <w:sz w:val="20"/>
        </w:rPr>
        <w:t xml:space="preserve"> records what the graded tiers hold; </w:t>
      </w:r>
      <w:r>
        <w:rPr>
          <w:rFonts w:ascii="Times New Roman" w:hAnsi="Times New Roman"/>
          <w:b/>
          <w:i w:val="0"/>
          <w:sz w:val="20"/>
        </w:rPr>
        <w:t>No attention-based criterion</w:t>
      </w:r>
      <w:r>
        <w:rPr>
          <w:rFonts w:ascii="Times New Roman" w:hAnsi="Times New Roman"/>
          <w:b w:val="0"/>
          <w:i w:val="0"/>
          <w:sz w:val="20"/>
        </w:rPr>
        <w:t xml:space="preserve"> is available to us; and </w:t>
      </w:r>
      <w:r>
        <w:rPr>
          <w:rFonts w:ascii="Times New Roman" w:hAnsi="Times New Roman"/>
          <w:b/>
          <w:i w:val="0"/>
          <w:sz w:val="20"/>
        </w:rPr>
        <w:t>Per-cell intervals are lower bounds</w:t>
      </w:r>
      <w:r>
        <w:rPr>
          <w:rFonts w:ascii="Times New Roman" w:hAnsi="Times New Roman"/>
          <w:b w:val="0"/>
          <w:i w:val="0"/>
          <w:sz w:val="20"/>
        </w:rPr>
        <w:t xml:space="preserve">, because where a cell has few levels the across-repeat term can </w:t>
      </w:r>
      <w:r>
        <w:rPr>
          <w:rFonts w:ascii="Times New Roman" w:hAnsi="Times New Roman"/>
          <w:b/>
          <w:i w:val="0"/>
          <w:sz w:val="20"/>
        </w:rPr>
        <w:t>exceed the interval width itself</w:t>
      </w:r>
      <w:r>
        <w:rPr>
          <w:rFonts w:ascii="Times New Roman" w:hAnsi="Times New Roman"/>
          <w:b w:val="0"/>
          <w:i w:val="0"/>
          <w:sz w:val="20"/>
        </w:rPr>
        <w:t xml:space="preserve"> — by roughly a factor of two (§A.2). None of the aggregates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the same instrument on seven families removes the answered zero in </w:t>
      </w:r>
      <w:r>
        <w:rPr>
          <w:rFonts w:ascii="Times New Roman" w:hAnsi="Times New Roman"/>
          <w:b/>
          <w:i w:val="0"/>
          <w:sz w:val="20"/>
        </w:rPr>
        <w:t>7 of 7</w:t>
      </w:r>
      <w:r>
        <w:rPr>
          <w:rFonts w:ascii="Times New Roman" w:hAnsi="Times New Roman"/>
          <w:b w:val="0"/>
          <w:i w:val="0"/>
          <w:sz w:val="20"/>
        </w:rPr>
        <w:t xml:space="preserve"> on the corpus domains (§5.7) and in </w:t>
      </w:r>
      <w:r>
        <w:rPr>
          <w:rFonts w:ascii="Times New Roman" w:hAnsi="Times New Roman"/>
          <w:b/>
          <w:i w:val="0"/>
          <w:sz w:val="20"/>
        </w:rPr>
        <w:t>8 of 9 configurations</w:t>
      </w:r>
      <w:r>
        <w:rPr>
          <w:rFonts w:ascii="Times New Roman" w:hAnsi="Times New Roman"/>
          <w:b w:val="0"/>
          <w:i w:val="0"/>
          <w:sz w:val="20"/>
        </w:rPr>
        <w:t xml:space="preserve"> on the public benchmark FSC-147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not to the lineage (six of seven further families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from the same experiment: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reported as unmeasured rather than clipped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18–22 pp on the </w:t>
      </w:r>
      <w:r>
        <w:rPr>
          <w:rFonts w:ascii="Times New Roman" w:hAnsi="Times New Roman"/>
          <w:b/>
          <w:i w:val="0"/>
          <w:sz w:val="20"/>
        </w:rPr>
        <w:t>BF16</w:t>
      </w:r>
      <w:r>
        <w:rPr>
          <w:rFonts w:ascii="Times New Roman" w:hAnsi="Times New Roman"/>
          <w:b w:val="0"/>
          <w:i w:val="0"/>
          <w:sz w:val="20"/>
        </w:rPr>
        <w:t xml:space="preserve"> build, against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4-bit</w:t>
      </w:r>
      <w:r>
        <w:rPr>
          <w:rFonts w:ascii="Times New Roman" w:hAnsi="Times New Roman"/>
          <w:b w:val="0"/>
          <w:i w:val="0"/>
          <w:sz w:val="20"/>
        </w:rPr>
        <w:t xml:space="preserve"> build, where two of the twenty cells stay outside the unit interval (Appendices M.19.16, M.46(c)).</w:t>
      </w:r>
    </w:p>
    <w:p>
      <w:r>
        <w:rPr>
          <w:rFonts w:ascii="Times New Roman" w:hAnsi="Times New Roman"/>
          <w:b/>
          <w:i w:val="0"/>
          <w:sz w:val="20"/>
        </w:rPr>
        <w:t>Domain composition is not systematic</w:t>
      </w:r>
      <w:r>
        <w:rPr>
          <w:rFonts w:ascii="Times New Roman" w:hAnsi="Times New Roman"/>
          <w:b w:val="0"/>
          <w:i w:val="0"/>
          <w:sz w:val="20"/>
        </w:rPr>
        <w:t>: the nine datasets were assembled to span a legibility range rather than sampled from a stated population, so domain-level statements describe these domains and are not estimates over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the separated-cluster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at https://github.com/YBP2005/P3 (CC BY 4.0), with a per-file MD5 manifest.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Zheng, S., et al. The Uncontrolled Variable: Vision-Language Model Refusal Responds to Image Presence in Ways Risk Cannot Explain.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VLMs.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