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prompts</w:t>
      </w:r>
      <w:r>
        <w:rPr>
          <w:rFonts w:ascii="Times New Roman" w:hAnsi="Times New Roman"/>
          <w:b w:val="0"/>
          <w:i w:val="0"/>
          <w:sz w:val="20"/>
        </w:rPr>
        <w:t xml:space="preserve"> (§5.7, §8.2), the dominant dense-scene failure </w:t>
      </w:r>
      <w:r>
        <w:rPr>
          <w:rFonts w:ascii="Times New Roman" w:hAnsi="Times New Roman"/>
          <w:b/>
          <w:i w:val="0"/>
          <w:sz w:val="20"/>
        </w:rPr>
        <w:t>in these cells</w:t>
      </w:r>
      <w:r>
        <w:rPr>
          <w:rFonts w:ascii="Times New Roman" w:hAnsi="Times New Roman"/>
          <w:b w:val="0"/>
          <w:i w:val="0"/>
          <w:sz w:val="20"/>
        </w:rPr>
        <w:t xml:space="preserv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w:t>
      </w:r>
      <w:r>
        <w:rPr>
          <w:rFonts w:ascii="Times New Roman" w:hAnsi="Times New Roman"/>
          <w:b/>
          <w:i w:val="0"/>
          <w:sz w:val="20"/>
        </w:rPr>
        <w:t>base arm</w:t>
      </w:r>
      <w:r>
        <w:rPr>
          <w:rFonts w:ascii="Times New Roman" w:hAnsi="Times New Roman"/>
          <w:b w:val="0"/>
          <w:i w:val="0"/>
          <w:sz w:val="20"/>
        </w:rPr>
        <w:t xml:space="preserve">; the same abstention </w:t>
      </w:r>
      <w:r>
        <w:rPr>
          <w:rFonts w:ascii="Times New Roman" w:hAnsi="Times New Roman"/>
          <w:b/>
          <w:i w:val="0"/>
          <w:sz w:val="20"/>
        </w:rPr>
        <w:t>rate</w:t>
      </w:r>
      <w:r>
        <w:rPr>
          <w:rFonts w:ascii="Times New Roman" w:hAnsi="Times New Roman"/>
          <w:b w:val="0"/>
          <w:i w:val="0"/>
          <w:sz w:val="20"/>
        </w:rPr>
        <w:t xml:space="preserve"> under the </w:t>
      </w:r>
      <w:r>
        <w:rPr>
          <w:rFonts w:ascii="Times New Roman" w:hAnsi="Times New Roman"/>
          <w:b/>
          <w:i w:val="0"/>
          <w:sz w:val="20"/>
        </w:rPr>
        <w:t>item-count</w:t>
      </w:r>
      <w:r>
        <w:rPr>
          <w:rFonts w:ascii="Times New Roman" w:hAnsi="Times New Roman"/>
          <w:b w:val="0"/>
          <w:i w:val="0"/>
          <w:sz w:val="20"/>
        </w:rPr>
        <w:t xml:space="preserve"> convention is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the </w:t>
      </w:r>
      <w:r>
        <w:rPr>
          <w:rFonts w:ascii="Times New Roman" w:hAnsi="Times New Roman"/>
          <w:b/>
          <w:i w:val="0"/>
          <w:sz w:val="20"/>
        </w:rPr>
        <w:t>availability of an abstention token</w:t>
      </w:r>
      <w:r>
        <w:rPr>
          <w:rFonts w:ascii="Times New Roman" w:hAnsi="Times New Roman"/>
          <w:b w:val="0"/>
          <w:i w:val="0"/>
          <w:sz w:val="20"/>
        </w:rPr>
        <w:t>, not enumeration demand (M.18).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on the anchor build)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on one anchor build,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w:t>
      </w:r>
      <w:r>
        <w:rPr>
          <w:rFonts w:ascii="Times New Roman" w:hAnsi="Times New Roman"/>
          <w:b w:val="0"/>
          <w:i w:val="0"/>
          <w:sz w:val="20"/>
        </w:rPr>
        <w:t xml:space="preserve">; over all arms and domains it spans </w:t>
      </w:r>
      <w:r>
        <w:rPr>
          <w:rFonts w:ascii="Times New Roman" w:hAnsi="Times New Roman"/>
          <w:b/>
          <w:i w:val="0"/>
          <w:sz w:val="20"/>
        </w:rPr>
        <w:t>0–99.4%</w:t>
      </w:r>
      <w:r>
        <w:rPr>
          <w:rFonts w:ascii="Times New Roman" w:hAnsi="Times New Roman"/>
          <w:b w:val="0"/>
          <w:i w:val="0"/>
          <w:sz w:val="20"/>
        </w:rPr>
        <w:t xml:space="preserve"> — </w:t>
      </w:r>
      <w:r>
        <w:rPr>
          <w:rFonts w:ascii="Times New Roman" w:hAnsi="Times New Roman"/>
          <w:b/>
          <w:i w:val="0"/>
          <w:sz w:val="20"/>
        </w:rPr>
        <w:t>0%</w:t>
      </w:r>
      <w:r>
        <w:rPr>
          <w:rFonts w:ascii="Times New Roman" w:hAnsi="Times New Roman"/>
          <w:b w:val="0"/>
          <w:i w:val="0"/>
          <w:sz w:val="20"/>
        </w:rPr>
        <w:t xml:space="preserve"> on the </w:t>
      </w:r>
      <w:r>
        <w:rPr>
          <w:rFonts w:ascii="Times New Roman" w:hAnsi="Times New Roman"/>
          <w:b w:val="0"/>
          <w:i/>
          <w:sz w:val="20"/>
        </w:rPr>
        <w:t>over</w:t>
      </w:r>
      <w:r>
        <w:rPr>
          <w:rFonts w:ascii="Times New Roman" w:hAnsi="Times New Roman"/>
          <w:b w:val="0"/>
          <w:i w:val="0"/>
          <w:sz w:val="20"/>
        </w:rPr>
        <w:t xml:space="preserve"> arm and </w:t>
      </w:r>
      <w:r>
        <w:rPr>
          <w:rFonts w:ascii="Times New Roman" w:hAnsi="Times New Roman"/>
          <w:b/>
          <w:i w:val="0"/>
          <w:sz w:val="20"/>
        </w:rPr>
        <w:t>99.4%</w:t>
      </w:r>
      <w:r>
        <w:rPr>
          <w:rFonts w:ascii="Times New Roman" w:hAnsi="Times New Roman"/>
          <w:b w:val="0"/>
          <w:i w:val="0"/>
          <w:sz w:val="20"/>
        </w:rPr>
        <w:t xml:space="preserve"> on ShanghaiTech-A under the </w:t>
      </w:r>
      <w:r>
        <w:rPr>
          <w:rFonts w:ascii="Times New Roman" w:hAnsi="Times New Roman"/>
          <w:b w:val="0"/>
          <w:i/>
          <w:sz w:val="20"/>
        </w:rPr>
        <w:t>under</w:t>
      </w:r>
      <w:r>
        <w:rPr>
          <w:rFonts w:ascii="Times New Roman" w:hAnsi="Times New Roman"/>
          <w:b w:val="0"/>
          <w:i w:val="0"/>
          <w:sz w:val="20"/>
        </w:rPr>
        <w:t xml:space="preserve"> arm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but sit in </w:t>
      </w:r>
      <w:r>
        <w:rPr>
          <w:rFonts w:ascii="Times New Roman" w:hAnsi="Times New Roman"/>
          <w:b/>
          <w:i w:val="0"/>
          <w:sz w:val="20"/>
        </w:rPr>
        <w:t>classification, question answering and reasoning</w:t>
      </w:r>
      <w:r>
        <w:rPr>
          <w:rFonts w:ascii="Times New Roman" w:hAnsi="Times New Roman"/>
          <w:b w:val="0"/>
          <w:i w:val="0"/>
          <w:sz w:val="20"/>
        </w:rPr>
        <w:t xml:space="preserve">, where abstention is </w:t>
      </w:r>
      <w:r>
        <w:rPr>
          <w:rFonts w:ascii="Times New Roman" w:hAnsi="Times New Roman"/>
          <w:b/>
          <w:i w:val="0"/>
          <w:sz w:val="20"/>
        </w:rPr>
        <w:t>explicitly declared</w:t>
      </w:r>
      <w:r>
        <w:rPr>
          <w:rFonts w:ascii="Times New Roman" w:hAnsi="Times New Roman"/>
          <w:b w:val="0"/>
          <w:i w:val="0"/>
          <w:sz w:val="20"/>
        </w:rPr>
        <w:t xml:space="preserve">. Counting differs in three ways: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so its acceptability is a deployment question; and there is </w:t>
      </w:r>
      <w:r>
        <w:rPr>
          <w:rFonts w:ascii="Times New Roman" w:hAnsi="Times New Roman"/>
          <w:b/>
          <w:i w:val="0"/>
          <w:sz w:val="20"/>
        </w:rPr>
        <w:t>no dependable confidence</w:t>
      </w:r>
      <w:r>
        <w:rPr>
          <w:rFonts w:ascii="Times New Roman" w:hAnsi="Times New Roman"/>
          <w:b w:val="0"/>
          <w:i w:val="0"/>
          <w:sz w:val="20"/>
        </w:rPr>
        <w:t xml:space="preserve"> for a rejection rule. The framework cannot be transplanted directly — abstention must first be </w:t>
      </w:r>
      <w:r>
        <w:rPr>
          <w:rFonts w:ascii="Times New Roman" w:hAnsi="Times New Roman"/>
          <w:b/>
          <w:i w:val="0"/>
          <w:sz w:val="20"/>
        </w:rPr>
        <w:t>operationalised and validated</w:t>
      </w:r>
      <w:r>
        <w:rPr>
          <w:rFonts w:ascii="Times New Roman" w:hAnsi="Times New Roman"/>
          <w:b w:val="0"/>
          <w:i w:val="0"/>
          <w:sz w:val="20"/>
        </w:rPr>
        <w:t xml:space="preserve"> in the counting domain (§3.6, Proposition 1) — and that step exposed the received reading's problem.</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not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50%</w:t>
      </w:r>
      <w:r>
        <w:rPr>
          <w:rFonts w:ascii="Times New Roman" w:hAnsi="Times New Roman"/>
          <w:b w:val="0"/>
          <w:i w:val="0"/>
          <w:sz w:val="20"/>
        </w:rPr>
        <w:t xml:space="preserve">, and in microscopy it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[3]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20"/>
        </w:rPr>
        <w:t>④ Removing abstention costs direction.</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so </w:t>
      </w:r>
      <w:r>
        <w:rPr>
          <w:rFonts w:ascii="Times New Roman" w:hAnsi="Times New Roman"/>
          <w:b/>
          <w:i w:val="0"/>
          <w:sz w:val="20"/>
        </w:rPr>
        <w:t>accuracy and directional controllability cannot both be obtained</w:t>
      </w:r>
      <w:r>
        <w:rPr>
          <w:rFonts w:ascii="Times New Roman" w:hAnsi="Times New Roman"/>
          <w:b w:val="0"/>
          <w:i w:val="0"/>
          <w:sz w:val="20"/>
        </w:rPr>
        <w:t xml:space="preserve">; tiling is the only mechanism that improves both.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985806"/>
            <wp:docPr id="2" name="Picture 2"/>
            <wp:cNvGraphicFramePr>
              <a:graphicFrameLocks noChangeAspect="1"/>
            </wp:cNvGraphicFramePr>
            <a:graphic>
              <a:graphicData uri="http://schemas.openxmlformats.org/drawingml/2006/picture">
                <pic:pic>
                  <pic:nvPicPr>
                    <pic:cNvPr id="0" name="F11_abstention_vs_undercount.png"/>
                    <pic:cNvPicPr/>
                  </pic:nvPicPr>
                  <pic:blipFill>
                    <a:blip r:embed="rId11"/>
                    <a:stretch>
                      <a:fillRect/>
                    </a:stretch>
                  </pic:blipFill>
                  <pic:spPr>
                    <a:xfrm>
                      <a:off x="0" y="0"/>
                      <a:ext cx="2736000" cy="1985806"/>
                    </a:xfrm>
                    <a:prstGeom prst="rect"/>
                  </pic:spPr>
                </pic:pic>
              </a:graphicData>
            </a:graphic>
          </wp:inline>
        </w:drawing>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observed separating split is </w:t>
      </w:r>
      <w:r>
        <w:rPr>
          <w:rFonts w:ascii="Times New Roman" w:hAnsi="Times New Roman"/>
          <w:b/>
          <w:i w:val="0"/>
          <w:sz w:val="20"/>
        </w:rPr>
        <w:t>1.6 pp</w:t>
      </w:r>
      <w:r>
        <w:rPr>
          <w:rFonts w:ascii="Times New Roman" w:hAnsi="Times New Roman"/>
          <w:b w:val="0"/>
          <w:i w:val="0"/>
          <w:sz w:val="20"/>
        </w:rPr>
        <w:t xml:space="preserve">, below our own noise floor (2.15–6.46 pp) and below the smallest attainable corrected p of that test,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rather than findings, and whose role is that every headline number is recomputed from the released records, or labelled a transcription or an author-side computation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[4]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rather than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only at the two precisions of the defining checkpoint;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w:t>
      </w:r>
    </w:p>
    <w:p>
      <w:r>
        <w:rPr>
          <w:rFonts w:ascii="Times New Roman" w:hAnsi="Times New Roman"/>
          <w:b w:val="0"/>
          <w:i w:val="0"/>
          <w:sz w:val="20"/>
        </w:rPr>
        <w:t>2. **Finding 2 — per-instance legibility gates whether a model answers, and it is a diagnostic rather than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rather than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[5]</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Two families dominate counting: detection-based methods localise instances and count them, while density regression predicts a density map whose integral is the count — the definitional formulation of the field [6]. Comparative work treats them as paradigms with characteristic trade-offs, and magnitude error is the axis on which they are compared; one controlled benchmark organises its probes by complexity [7].</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with NMS IoU as a second such knob, and with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 factor of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([8] and successors). A parallel and largely separate literature studies abstention: selective prediction [9],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have never been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rather than claim</w:t>
      </w:r>
      <w:r>
        <w:rPr>
          <w:rFonts w:ascii="Times New Roman" w:hAnsi="Times New Roman"/>
          <w:b w:val="0"/>
          <w:i w:val="0"/>
          <w:sz w:val="20"/>
        </w:rPr>
        <w:t xml:space="preserve"> the legibility gating — it is gated by per-instance legibility, not by object count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val="0"/>
                <w:i w:val="0"/>
                <w:sz w:val="20"/>
              </w:rPr>
              <w:t>Synthetic, orthogonally manipulated</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[5],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rather than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with the machinery that separates them on a fixed serving stack in §3.8 and §5.7.</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came from single samples. Repeat sampling shows item-level reproducibility for a hosted API to be only about </w:t>
      </w:r>
      <w:r>
        <w:rPr>
          <w:rFonts w:ascii="Times New Roman" w:hAnsi="Times New Roman"/>
          <w:b/>
          <w:i w:val="0"/>
          <w:sz w:val="20"/>
        </w:rPr>
        <w:t>15%</w:t>
      </w:r>
      <w:r>
        <w:rPr>
          <w:rFonts w:ascii="Times New Roman" w:hAnsi="Times New Roman"/>
          <w:b w:val="0"/>
          <w:i w:val="0"/>
          <w:sz w:val="20"/>
        </w:rPr>
        <w:t>, while a locally controlled stack agrees at essentially 100% (batch ≤ 2), and aggregates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abstention share of the total under-count. Density is summarised by OPM, whose applicability boundary is §7.1.</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w:t>
      </w:r>
      <w:r>
        <w:rPr>
          <w:rFonts w:ascii="Times New Roman" w:hAnsi="Times New Roman"/>
          <w:b/>
          <w:i w:val="0"/>
          <w:sz w:val="20"/>
        </w:rPr>
        <w:t>Any counting evaluation must therefore declare its target granularity explicitly</w:t>
      </w:r>
      <w:r>
        <w:rPr>
          <w:rFonts w:ascii="Times New Roman" w:hAnsi="Times New Roman"/>
          <w:b w:val="0"/>
          <w:i w:val="0"/>
          <w:sz w:val="20"/>
        </w:rPr>
        <w:t>; part of the spread across published counting numbers is a granularity artefact rather than a modelling difference.</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while the </w:t>
      </w:r>
      <w:r>
        <w:rPr>
          <w:rFonts w:ascii="Times New Roman" w:hAnsi="Times New Roman"/>
          <w:b/>
          <w:i w:val="0"/>
          <w:sz w:val="20"/>
        </w:rPr>
        <w:t>per-instance pixel budget is a covariate rather than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in this paper,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Appendix M.20 records the measurement and why we report it as a boundary rather than a promise).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[5];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targets per image), 68% vs. 57% (</w:t>
      </w:r>
      <w:r>
        <w:rPr>
          <w:rFonts w:ascii="Times New Roman" w:hAnsi="Times New Roman"/>
          <w:b/>
          <w:i w:val="0"/>
          <w:sz w:val="20"/>
        </w:rPr>
        <w:t>Proposition 6</w:t>
      </w:r>
      <w:r>
        <w:rPr>
          <w:rFonts w:ascii="Times New Roman" w:hAnsi="Times New Roman"/>
          <w:b w:val="0"/>
          <w:i w:val="0"/>
          <w:sz w:val="20"/>
        </w:rPr>
        <w:t>).</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Appendix D.2; Appendix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[4]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Abstention is our leading indicator, so its operationalisation is stated item by item rather than left as "the predicted total is zero".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two-lineage answer (the two lineages for which the ratio is measured).</w:t>
      </w:r>
      <w:r>
        <w:rPr>
          <w:rFonts w:ascii="Times New Roman" w:hAnsi="Times New Roman"/>
          <w:b w:val="0"/>
          <w:i w:val="0"/>
          <w:sz w:val="20"/>
        </w:rPr>
        <w:t xml:space="preserve"> We give an empirical criterion rather than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a lineage with ratio κ identifies its </w:t>
      </w:r>
      <w:r>
        <w:rPr>
          <w:rFonts w:ascii="Times New Roman" w:hAnsi="Times New Roman"/>
          <w:b/>
          <w:i w:val="0"/>
          <w:sz w:val="20"/>
        </w:rPr>
        <w:t>answered-zero rate</w:t>
      </w:r>
      <w:r>
        <w:rPr>
          <w:rFonts w:ascii="Times New Roman" w:hAnsi="Times New Roman"/>
          <w:b w:val="0"/>
          <w:i w:val="0"/>
          <w:sz w:val="20"/>
        </w:rPr>
        <w:t xml:space="preserve"> only to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("count every person one by one") or localisation ("locate every person")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("give your best estimate even if you cannot count precisely")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that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where it is exercised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rather than refinements; the rules and the corpus-wide scan behind them are in </w:t>
      </w:r>
      <w:r>
        <w:rPr>
          <w:rFonts w:ascii="Times New Roman" w:hAnsi="Times New Roman"/>
          <w:b/>
          <w:i w:val="0"/>
          <w:sz w:val="20"/>
        </w:rPr>
        <w:t>Appendix I</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which is the arithmetic reason §3.6 reports the two lineages separately rather than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and abstention is itself GT-dependent, so the covariance is non-zero in dense domains by construction. Both conventions are therefore always reported — and §5.12 measures what a single convention costs.</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which is a share inside [0,1] only when the net deviation is an under-count; where it is not, the two pp terms of Table 3 are the reported quantities (§8.2). This is a reporting identity of the same form as the answer-propensity / conditional-composition decomposition we use elsewhere [46]; what is in question is where the movement goes on this corpus.</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is what licenses stratifying by legibility rather than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 gemma-3-12b — has headroom in both pools, so only that build's two-source comparison is licensed (the other three builds' two-source agreement there is largely a saturation product, Appendix M.32(c)), and  remains unknown (Appendix M.21)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and Tables </w:t>
      </w:r>
      <w:r>
        <w:rPr>
          <w:rFonts w:ascii="Times New Roman" w:hAnsi="Times New Roman"/>
          <w:b/>
          <w:i w:val="0"/>
          <w:sz w:val="20"/>
        </w:rPr>
        <w:t>1–6</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 the three input sizes 640 / 1024 / 1536 px, i.e. the same ladder giving the in-domain weights </w:t>
      </w:r>
      <w:r>
        <w:rPr>
          <w:rFonts w:ascii="Times New Roman" w:hAnsi="Times New Roman"/>
          <w:b/>
          <w:i w:val="0"/>
          <w:sz w:val="20"/>
        </w:rPr>
        <w:t>95.9 / 159.3 / 195.7 pp</w:t>
      </w:r>
      <w:r>
        <w:rPr>
          <w:rFonts w:ascii="Times New Roman" w:hAnsi="Times New Roman"/>
          <w:b w:val="0"/>
          <w:i w:val="0"/>
          <w:sz w:val="20"/>
        </w:rPr>
        <w:t xml:space="preserve"> (three levels) —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of these results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rather than to the image</w:t>
      </w:r>
      <w:r>
        <w:rPr>
          <w:rFonts w:ascii="Times New Roman" w:hAnsi="Times New Roman"/>
          <w:b w:val="0"/>
          <w:i w:val="0"/>
          <w:sz w:val="20"/>
        </w:rPr>
        <w:t>: the last reachable bin is reached by tiling, and what fails beyond it is the per-tile instance budget.</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The curve separating reachable from unreachable levels is </w:t>
      </w:r>
      <w:r>
        <w:rPr>
          <w:rFonts w:ascii="Times New Roman" w:hAnsi="Times New Roman"/>
          <w:b/>
          <w:i w:val="0"/>
          <w:sz w:val="20"/>
        </w:rPr>
        <w:t>the threshold-cleaning curve of Fig. 3</w:t>
      </w:r>
      <w:r>
        <w:rPr>
          <w:rFonts w:ascii="Times New Roman" w:hAnsi="Times New Roman"/>
          <w:b w:val="0"/>
          <w:i w:val="0"/>
          <w:sz w:val="20"/>
        </w:rPr>
        <w:t>;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87520"/>
            <wp:docPr id="3" name="Picture 3"/>
            <wp:cNvGraphicFramePr>
              <a:graphicFrameLocks noChangeAspect="1"/>
            </wp:cNvGraphicFramePr>
            <a:graphic>
              <a:graphicData uri="http://schemas.openxmlformats.org/drawingml/2006/picture">
                <pic:pic>
                  <pic:nvPicPr>
                    <pic:cNvPr id="0" name="F12_prompt_dose.png"/>
                    <pic:cNvPicPr/>
                  </pic:nvPicPr>
                  <pic:blipFill>
                    <a:blip r:embed="rId12"/>
                    <a:stretch>
                      <a:fillRect/>
                    </a:stretch>
                  </pic:blipFill>
                  <pic:spPr>
                    <a:xfrm>
                      <a:off x="0" y="0"/>
                      <a:ext cx="2736000" cy="1787520"/>
                    </a:xfrm>
                    <a:prstGeom prst="rect"/>
                  </pic:spPr>
                </pic:pic>
              </a:graphicData>
            </a:graphic>
          </wp:inline>
        </w:drawing>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so configuration attribution does not rest on file naming. Tiling moves UCF from unreachable to reachable (τ^\</w:t>
      </w:r>
      <w:r>
        <w:rPr>
          <w:rFonts w:ascii="Times New Roman" w:hAnsi="Times New Roman"/>
          <w:b w:val="0"/>
          <w:i w:val="0"/>
          <w:sz w:val="20"/>
        </w:rPr>
        <w:t xml:space="preserve"> 0.121–0.152): protocol and threshold jointly determine reachability. (Appendix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(Appendix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(Appendix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xml:space="preserve">; and </w:t>
      </w:r>
      <w:r>
        <w:rPr>
          <w:rFonts w:ascii="Times New Roman" w:hAnsi="Times New Roman"/>
          <w:b/>
          <w:i w:val="0"/>
          <w:sz w:val="20"/>
        </w:rPr>
        <w:t>the two families unseal at different granularities</w:t>
      </w:r>
      <w:r>
        <w:rPr>
          <w:rFonts w:ascii="Times New Roman" w:hAnsi="Times New Roman"/>
          <w:b w:val="0"/>
          <w:i w:val="0"/>
          <w:sz w:val="20"/>
        </w:rPr>
        <w:t>, the pre-FPN architecture needing finer tiling for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with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that proves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(Appendix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abstention share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(three of twenty (language × build) cells leave the unit interval; M.18.9, M.19.16(ii), M.39, M.46(c)). </w:t>
      </w:r>
      <w:r>
        <w:rPr>
          <w:rFonts w:ascii="Times New Roman" w:hAnsi="Times New Roman"/>
          <w:b/>
          <w:i w:val="0"/>
          <w:sz w:val="20"/>
        </w:rPr>
        <w:t>This is the quantitative core of the paper's central claim (a coverage of the abstention channel, not a precision; Proposition 7):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Causal attribution of abstention: not count, but legibility</w:t>
      </w:r>
    </w:p>
    <w:p>
      <w:r>
        <w:rPr>
          <w:rFonts w:ascii="Times New Roman" w:hAnsi="Times New Roman"/>
          <w:b w:val="0"/>
          <w:i w:val="0"/>
          <w:sz w:val="20"/>
        </w:rPr>
        <w:t xml:space="preserve">Three controlled manipulations refute the intuitive "too many objects" explanation: the gate is </w:t>
      </w:r>
      <w:r>
        <w:rPr>
          <w:rFonts w:ascii="Times New Roman" w:hAnsi="Times New Roman"/>
          <w:b/>
          <w:i w:val="0"/>
          <w:sz w:val="20"/>
        </w:rPr>
        <w:t>per-instance legibility</w:t>
      </w:r>
      <w:r>
        <w:rPr>
          <w:rFonts w:ascii="Times New Roman" w:hAnsi="Times New Roman"/>
          <w:b w:val="0"/>
          <w:i w:val="0"/>
          <w:sz w:val="20"/>
        </w:rPr>
        <w:t xml:space="preserve"> (§3.3), and count retains only a secondary within-domain role (M.11).</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(§A.3 — the across-repeat band of ρ, which is neither the 3.92 pp batch bound of Appendix M.21.9 nor a band for zero rates).</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50%</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explicitly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produced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 The three rows tagged </w:t>
      </w:r>
      <w:r>
        <w:rPr>
          <w:rFonts w:ascii="Times New Roman" w:hAnsi="Times New Roman"/>
          <w:b w:val="0"/>
          <w:i/>
          <w:sz w:val="20"/>
        </w:rPr>
        <w:t>(anchor)</w:t>
      </w:r>
      <w:r>
        <w:rPr>
          <w:rFonts w:ascii="Times New Roman" w:hAnsi="Times New Roman"/>
          <w:b w:val="0"/>
          <w:i w:val="0"/>
          <w:sz w:val="20"/>
        </w:rPr>
        <w:t xml:space="preserve"> use the community AWQ-4bit requantisation of §3.5.</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completely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50%</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710000"/>
            <wp:docPr id="4" name="Picture 4"/>
            <wp:cNvGraphicFramePr>
              <a:graphicFrameLocks noChangeAspect="1"/>
            </wp:cNvGraphicFramePr>
            <a:graphic>
              <a:graphicData uri="http://schemas.openxmlformats.org/drawingml/2006/picture">
                <pic:pic>
                  <pic:nvPicPr>
                    <pic:cNvPr id="0" name="F8_tau_cleaning.png"/>
                    <pic:cNvPicPr/>
                  </pic:nvPicPr>
                  <pic:blipFill>
                    <a:blip r:embed="rId13"/>
                    <a:stretch>
                      <a:fillRect/>
                    </a:stretch>
                  </pic:blipFill>
                  <pic:spPr>
                    <a:xfrm>
                      <a:off x="0" y="0"/>
                      <a:ext cx="2736000" cy="1710000"/>
                    </a:xfrm>
                    <a:prstGeom prst="rect"/>
                  </pic:spPr>
                </pic:pic>
              </a:graphicData>
            </a:graphic>
          </wp:inline>
        </w:drawing>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xml:space="preserve">, paired, n = 900). </w:t>
      </w:r>
      <w:r>
        <w:rPr>
          <w:rFonts w:ascii="Times New Roman" w:hAnsi="Times New Roman"/>
          <w:b/>
          <w:i w:val="0"/>
          <w:sz w:val="20"/>
        </w:rPr>
        <w:t>Not lineage-specific</w:t>
      </w:r>
      <w:r>
        <w:rPr>
          <w:rFonts w:ascii="Times New Roman" w:hAnsi="Times New Roman"/>
          <w:b w:val="0"/>
          <w:i w:val="0"/>
          <w:sz w:val="20"/>
        </w:rPr>
        <w:t>: on a controlled disc grid the same gate reproduces in three further lineages, where the permitted contract leaves no zeros (Appendix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 — relaxing the prompt</w:t>
      </w:r>
      <w:r>
        <w:rPr>
          <w:rFonts w:ascii="Times New Roman" w:hAnsi="Times New Roman"/>
          <w:b w:val="0"/>
          <w:i w:val="0"/>
          <w:sz w:val="20"/>
        </w:rPr>
        <w:t xml:space="preserve"> cannot obtain both. (Appendices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(Appendix M.8).</w:t>
      </w:r>
    </w:p>
    <w:p>
      <w:r>
        <w:rPr>
          <w:rFonts w:ascii="Times New Roman" w:hAnsi="Times New Roman"/>
          <w:b w:val="0"/>
          <w:i w:val="0"/>
          <w:sz w:val="20"/>
        </w:rPr>
        <w:t xml:space="preserve">Proposition 4 expresses this gap as -(1-w)(1+ρ_answered), so the four reported values are a </w:t>
      </w:r>
      <w:r>
        <w:rPr>
          <w:rFonts w:ascii="Times New Roman" w:hAnsi="Times New Roman"/>
          <w:b/>
          <w:i w:val="0"/>
          <w:sz w:val="20"/>
        </w:rPr>
        <w:t>consistency check on the numbers printed in this paper</w:t>
      </w:r>
      <w:r>
        <w:rPr>
          <w:rFonts w:ascii="Times New Roman" w:hAnsi="Times New Roman"/>
          <w:b w:val="0"/>
          <w:i w:val="0"/>
          <w:sz w:val="20"/>
        </w:rPr>
        <w:t xml:space="preserve"> rather than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the denominator are defined in Appendix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a number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it does *not* cost: the decision.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(deployable iff ≥θ of images fall inside a ±tol band),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≈800 verdicts and a 3 × 3 grid of θ × tol: </w:t>
      </w:r>
      <w:r>
        <w:rPr>
          <w:rFonts w:ascii="Times New Roman" w:hAnsi="Times New Roman"/>
          <w:b/>
          <w:i w:val="0"/>
          <w:sz w:val="20"/>
        </w:rPr>
        <w:t>one verdict flips</w:t>
      </w:r>
      <w:r>
        <w:rPr>
          <w:rFonts w:ascii="Times New Roman" w:hAnsi="Times New Roman"/>
          <w:b w:val="0"/>
          <w:i w:val="0"/>
          <w:sz w:val="20"/>
        </w:rPr>
        <w:t xml:space="preserve">, and the selected sets are </w:t>
      </w:r>
      <w:r>
        <w:rPr>
          <w:rFonts w:ascii="Times New Roman" w:hAnsi="Times New Roman"/>
          <w:b/>
          <w:i w:val="0"/>
          <w:sz w:val="20"/>
        </w:rPr>
        <w:t>identical in all five datasets</w:t>
      </w:r>
      <w:r>
        <w:rPr>
          <w:rFonts w:ascii="Times New Roman" w:hAnsi="Times New Roman"/>
          <w:b w:val="0"/>
          <w:i w:val="0"/>
          <w:sz w:val="20"/>
        </w:rPr>
        <w:t xml:space="preserve">. The convention is therefore a </w:t>
      </w:r>
      <w:r>
        <w:rPr>
          <w:rFonts w:ascii="Times New Roman" w:hAnsi="Times New Roman"/>
          <w:b/>
          <w:i w:val="0"/>
          <w:sz w:val="20"/>
        </w:rPr>
        <w:t>comparability problem, not a decision problem</w:t>
      </w:r>
      <w:r>
        <w:rPr>
          <w:rFonts w:ascii="Times New Roman" w:hAnsi="Times New Roman"/>
          <w:b w:val="0"/>
          <w:i w:val="0"/>
          <w:sz w:val="20"/>
        </w:rPr>
        <w:t xml:space="preserve"> for the three decision forms tested here: across those forms it cannot make a user deploy the wrong model, but it can make the numbers incomparable. The decision-relevant quantity is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[5]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w:t>
      </w:r>
    </w:p>
    <w:p>
      <w:r>
        <w:rPr>
          <w:rFonts w:ascii="Times New Roman" w:hAnsi="Times New Roman"/>
          <w:b/>
          <w:i w:val="0"/>
          <w:sz w:val="20"/>
        </w:rPr>
        <w:t>Table 6.</w:t>
      </w:r>
      <w:r>
        <w:rPr>
          <w:rFonts w:ascii="Times New Roman" w:hAnsi="Times New Roman"/>
          <w:b w:val="0"/>
          <w:i w:val="0"/>
          <w:sz w:val="20"/>
        </w:rPr>
        <w:t xml:space="preserve"> The contract gate on FSC-147 (five of the nine configurations in the panel; the full panel is Appendix M.24.1).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and is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and fails in one.</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those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rather than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rather than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 The two rank correlations behind this paragraph rest on the answered subset of the 300 sampled images, which is 17–52 images per configuration (Appendix M.24.2); those two figures carry no interval.</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75eeca6fa68c9be65c2b569d4237d8df</w:t>
      </w:r>
      <w:r>
        <w:rPr>
          <w:rFonts w:ascii="Times New Roman" w:hAnsi="Times New Roman"/>
          <w:b w:val="0"/>
          <w:i w:val="0"/>
          <w:sz w:val="20"/>
        </w:rPr>
        <w:t xml:space="preserve">; rule and full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xml:space="preserve"> — five of those lineages appear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ordering rule holds; and the zero rate is a property of the domain rather than of the family.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rather than fatal. Idefics3-8B leaves </w:t>
      </w:r>
      <w:r>
        <w:rPr>
          <w:rFonts w:ascii="Times New Roman" w:hAnsi="Times New Roman"/>
          <w:b/>
          <w:i w:val="0"/>
          <w:sz w:val="20"/>
        </w:rPr>
        <w:t>7.23%</w:t>
      </w:r>
      <w:r>
        <w:rPr>
          <w:rFonts w:ascii="Times New Roman" w:hAnsi="Times New Roman"/>
          <w:b w:val="0"/>
          <w:i w:val="0"/>
          <w:sz w:val="20"/>
        </w:rPr>
        <w:t xml:space="preserve">, but its residual sits on sparse aerial items whose ground truth is one to three objects — a missed tiny target, not a refused outlet. deepseek-vl2-tiny leaves </w:t>
      </w:r>
      <w:r>
        <w:rPr>
          <w:rFonts w:ascii="Times New Roman" w:hAnsi="Times New Roman"/>
          <w:b/>
          <w:i w:val="0"/>
          <w:sz w:val="20"/>
        </w:rPr>
        <w:t>48.28%</w:t>
      </w:r>
      <w:r>
        <w:rPr>
          <w:rFonts w:ascii="Times New Roman" w:hAnsi="Times New Roman"/>
          <w:b w:val="0"/>
          <w:i w:val="0"/>
          <w:sz w:val="20"/>
        </w:rPr>
        <w:t xml:space="preserve">: it never abstains in the aerial domains and its dense-domain output is 99% unparsable, so its numbers are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exact binomial P(X≥10| n=12, p=1/2)=0.019),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 the frozen record value </w:t>
      </w:r>
      <w:r>
        <w:rPr>
          <w:rFonts w:ascii="Times New Roman" w:hAnsi="Times New Roman"/>
          <w:b/>
          <w:i w:val="0"/>
          <w:sz w:val="20"/>
        </w:rPr>
        <w:t>`[0.0831, 0.1002]`</w:t>
      </w:r>
      <w:r>
        <w:rPr>
          <w:rFonts w:ascii="Times New Roman" w:hAnsi="Times New Roman"/>
          <w:b w:val="0"/>
          <w:i w:val="0"/>
          <w:sz w:val="20"/>
        </w:rPr>
        <w:t>, item level, as printed in Appendix M.31.2. That is the population-level statement the earlier corpora could not make.</w:t>
      </w:r>
    </w:p>
    <w:p>
      <w:r>
        <w:rPr>
          <w:rFonts w:ascii="Times New Roman" w:hAnsi="Times New Roman"/>
          <w:b/>
          <w:i w:val="0"/>
          <w:sz w:val="20"/>
        </w:rPr>
        <w:t>Two of the six pre-registered predictions failed outright</w:t>
      </w:r>
      <w:r>
        <w:rPr>
          <w:rFonts w:ascii="Times New Roman" w:hAnsi="Times New Roman"/>
          <w:b w:val="0"/>
          <w:i w:val="0"/>
          <w:sz w:val="20"/>
        </w:rPr>
        <w:t xml:space="preserve"> (two further sub-items failed; a prediction counts as failed only when its primary criterion failed), and both bear on scope rather than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rather than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rather than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 xml:space="preserve">Three further measurement properties matter here, with protocols in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a stable property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which is why our VLM protocol fixes temperature at 0 (H.2); and the collapse of density-regression output under overlap occurs for both 8B and 32B models at comparable overlap levels, making it a property of the task structure rather than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rather than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 six knobs map onto four sides, and Appendix F.2 reconciles the three unit sets —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w:t>
      </w:r>
    </w:p>
    <w:p>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0.939–0.996</w:t>
      </w:r>
      <w:r>
        <w:rPr>
          <w:rFonts w:ascii="Times New Roman" w:hAnsi="Times New Roman"/>
          <w:b w:val="0"/>
          <w:i w:val="0"/>
          <w:sz w:val="20"/>
        </w:rPr>
        <w:t xml:space="preserve"> (31 units) and </w:t>
      </w:r>
      <w:r>
        <w:rPr>
          <w:rFonts w:ascii="Times New Roman" w:hAnsi="Times New Roman"/>
          <w:b/>
          <w:i w:val="0"/>
          <w:sz w:val="20"/>
        </w:rPr>
        <w:t>0.836–0.983</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xml:space="preserve"> (cluster-level; recomputed from the released package, Appendix F.7);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deployment-usable granularity does so while preserving the ordering</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own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reconciles the three unit sets;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 and the 0.85 criterion set for that objection is not met by the re-normalised ladders (0.629 on log ratios, 0.595 on ranks, 0.580–0.754 over the four subsets; Appendix M.37).</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under the level sets compared: </w:t>
      </w:r>
      <w:r>
        <w:rPr>
          <w:rFonts w:ascii="Times New Roman" w:hAnsi="Times New Roman"/>
          <w:b/>
          <w:i w:val="0"/>
          <w:sz w:val="20"/>
        </w:rPr>
        <w:t>rank knobs by this ordering, and quote a magnitude only with the grid density and the calibration caliber that produced it, and only within the level sets compared.</w:t>
      </w:r>
      <w:r>
        <w:rPr>
          <w:rFonts w:ascii="Times New Roman" w:hAnsi="Times New Roman"/>
          <w:b w:val="0"/>
          <w:i w:val="0"/>
          <w:sz w:val="20"/>
        </w:rPr>
        <w:t xml:space="preserve"> Our own candidate for the magnitude (Proposition 3) is a component of the definition and is withdrawn, so a magnitude law remains open — but the ordering rule is what a practitioner needs to choose between knobs, and it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(Appendix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rather than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w:t>
      </w:r>
      <w:r>
        <w:rPr>
          <w:rFonts w:ascii="Times New Roman" w:hAnsi="Times New Roman"/>
          <w:b/>
          <w:i w:val="0"/>
          <w:sz w:val="20"/>
        </w:rPr>
        <w:t>A rule that works was looked for and not found.</w:t>
      </w:r>
      <w:r>
        <w:rPr>
          <w:rFonts w:ascii="Times New Roman" w:hAnsi="Times New Roman"/>
          <w:b w:val="0"/>
          <w:i w:val="0"/>
          <w:sz w:val="20"/>
        </w:rPr>
        <w:t xml:space="preserve"> Three annotation-free signals — cross-scale, cross-phrasing and cross-family agreement —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identifiable from outputs alone</w:t>
      </w:r>
      <w:r>
        <w:rPr>
          <w:rFonts w:ascii="Times New Roman" w:hAnsi="Times New Roman"/>
          <w:b w:val="0"/>
          <w:i w:val="0"/>
          <w:sz w:val="20"/>
        </w:rPr>
        <w:t xml:space="preserve"> — it has to come from outside the answers (Appendices M.23, M.14).</w:t>
      </w:r>
    </w:p>
    <w:p>
      <w:pPr>
        <w:pStyle w:val="Heading3"/>
      </w:pPr>
      <w:r>
        <w:rPr>
          <w:rFonts w:ascii="Times New Roman" w:hAnsi="Times New Roman"/>
          <w:b/>
          <w:i w:val="0"/>
          <w:sz w:val="20"/>
        </w:rPr>
        <w:t>7.8 An independent endorsement of enumeration over regression</w:t>
      </w:r>
    </w:p>
    <w:p>
      <w:r>
        <w:rPr>
          <w:rFonts w:ascii="Times New Roman" w:hAnsi="Times New Roman"/>
          <w:b w:val="0"/>
          <w:i w:val="0"/>
          <w:sz w:val="20"/>
        </w:rPr>
        <w:t>That enumeration-style counting is more directionally controllable than regression-style counting is not isolated to this paper: work on other tasks independently finds that regress-then-round pipelines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paper's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contract arms against any OpenAI-compatible endpoint given only a directory of images — no dependency on our corpora, annotations or detectors, and with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the </w:t>
      </w:r>
      <w:r>
        <w:rPr>
          <w:rFonts w:ascii="Times New Roman" w:hAnsi="Times New Roman"/>
          <w:b/>
          <w:i w:val="0"/>
          <w:sz w:val="20"/>
        </w:rPr>
        <w:t>abstention mass</w:t>
      </w:r>
      <w:r>
        <w:rPr>
          <w:rFonts w:ascii="Times New Roman" w:hAnsi="Times New Roman"/>
          <w:b w:val="0"/>
          <w:i w:val="0"/>
          <w:sz w:val="20"/>
        </w:rPr>
        <w:t xml:space="preserve"> w, and both conventions' deviations with their verdicts. The thresholds are frozen in </w:t>
      </w:r>
      <w:r>
        <w:rPr>
          <w:rFonts w:ascii="Times New Roman" w:hAnsi="Times New Roman"/>
          <w:b w:val="0"/>
          <w:i/>
          <w:sz w:val="20"/>
        </w:rPr>
        <w:t>adopt_criteria.json</w:t>
      </w:r>
      <w:r>
        <w:rPr>
          <w:rFonts w:ascii="Times New Roman" w:hAnsi="Times New Roman"/>
          <w:b w:val="0"/>
          <w:i w:val="0"/>
          <w:sz w:val="20"/>
        </w:rPr>
        <w:t xml:space="preserve"> (residual ≤5% read from the point estimate — several cells rest on 2–25 items, so their upper bounds are wide and they are direction readings, Appendix M.46(a) ⇒ contract-set; &gt;30% ⇒ record a counterexample and retry with the three-option wording; a convention gap below the 7 pp noise floor ⇒ immaterial for that cell). Adoption costs one serving session and yields the two quantities §5.3–§5.13 turn on, which is what makes these comparisons reproducible elsewhere (M.22). In a first independent use it was run, unchanged, on two corpora whose recipe residual had never been reported — including a large unconstrained dense-crowd release (JHU-CROWD++ [51]) —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Seven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recorded as a </w:t>
      </w:r>
      <w:r>
        <w:rPr>
          <w:rFonts w:ascii="Times New Roman" w:hAnsi="Times New Roman"/>
          <w:b/>
          <w:i w:val="0"/>
          <w:sz w:val="20"/>
        </w:rPr>
        <w:t>third instrument finding</w:t>
      </w:r>
      <w:r>
        <w:rPr>
          <w:rFonts w:ascii="Times New Roman" w:hAnsi="Times New Roman"/>
          <w:b w:val="0"/>
          <w:i w:val="0"/>
          <w:sz w:val="20"/>
        </w:rPr>
        <w:t xml:space="preserve">;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two numbers: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domain conditionality and §4.5's unsealing granularity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rather than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which is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 a pooled dense-pool figure; the per-domain drops on the same build are </w:t>
      </w:r>
      <w:r>
        <w:rPr>
          <w:rFonts w:ascii="Times New Roman" w:hAnsi="Times New Roman"/>
          <w:b/>
          <w:i w:val="0"/>
          <w:sz w:val="20"/>
        </w:rPr>
        <w:t>18–22 pp</w:t>
      </w:r>
      <w:r>
        <w:rPr>
          <w:rFonts w:ascii="Times New Roman" w:hAnsi="Times New Roman"/>
          <w:b w:val="0"/>
          <w:i w:val="0"/>
          <w:sz w:val="20"/>
        </w:rPr>
        <w:t xml:space="preserve"> and come from a different item set (Appendix M.39). The shares of §5.5 are therefore scoped to the prompt language and to the </w:t>
      </w:r>
      <w:r>
        <w:rPr>
          <w:rFonts w:ascii="Times New Roman" w:hAnsi="Times New Roman"/>
          <w:b/>
          <w:i w:val="0"/>
          <w:sz w:val="20"/>
        </w:rPr>
        <w:t>one anchor build</w:t>
      </w:r>
      <w:r>
        <w:rPr>
          <w:rFonts w:ascii="Times New Roman" w:hAnsi="Times New Roman"/>
          <w:b w:val="0"/>
          <w:i w:val="0"/>
          <w:sz w:val="20"/>
        </w:rPr>
        <w:t xml:space="preserve"> measured here (</w:t>
      </w:r>
      <w:r>
        <w:rPr>
          <w:rFonts w:ascii="Times New Roman" w:hAnsi="Times New Roman"/>
          <w:b/>
          <w:i w:val="0"/>
          <w:sz w:val="20"/>
        </w:rPr>
        <w:t>the share holds at BF16; the rate does not</w:t>
      </w:r>
      <w:r>
        <w:rPr>
          <w:rFonts w:ascii="Times New Roman" w:hAnsi="Times New Roman"/>
          <w:b w:val="0"/>
          <w:i w:val="0"/>
          <w:sz w:val="20"/>
        </w:rPr>
        <w:t xml:space="preserve">; eight of nine further families and builds fall short;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near zero — three of twenty cells, unmeasured rather than clipped, the two pp terms of Table 3 being the fallback there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and every absolute rate on that build carries a </w:t>
      </w:r>
      <w:r>
        <w:rPr>
          <w:rFonts w:ascii="Times New Roman" w:hAnsi="Times New Roman"/>
          <w:b/>
          <w:i w:val="0"/>
          <w:sz w:val="20"/>
        </w:rPr>
        <w:t>~1.3% item-level stack band</w:t>
      </w:r>
      <w:r>
        <w:rPr>
          <w:rFonts w:ascii="Times New Roman" w:hAnsi="Times New Roman"/>
          <w:b w:val="0"/>
          <w:i w:val="0"/>
          <w:sz w:val="20"/>
        </w:rPr>
        <w:t xml:space="preserve"> (Appendices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host's compute capability is </w:t>
      </w:r>
      <w:r>
        <w:rPr>
          <w:rFonts w:ascii="Times New Roman" w:hAnsi="Times New Roman"/>
          <w:b/>
          <w:i w:val="0"/>
          <w:sz w:val="20"/>
        </w:rPr>
        <w:t>8.0</w:t>
      </w:r>
      <w:r>
        <w:rPr>
          <w:rFonts w:ascii="Times New Roman" w:hAnsi="Times New Roman"/>
          <w:b w:val="0"/>
          <w:i w:val="0"/>
          <w:sz w:val="20"/>
        </w:rPr>
        <w:t xml:space="preserve"> and W8A16 needs </w:t>
      </w:r>
      <w:r>
        <w:rPr>
          <w:rFonts w:ascii="Times New Roman" w:hAnsi="Times New Roman"/>
          <w:b/>
          <w:i w:val="0"/>
          <w:sz w:val="20"/>
        </w:rPr>
        <w:t>8.9</w:t>
      </w:r>
      <w:r>
        <w:rPr>
          <w:rFonts w:ascii="Times New Roman" w:hAnsi="Times New Roman"/>
          <w:b w:val="0"/>
          <w:i w:val="0"/>
          <w:sz w:val="20"/>
        </w:rPr>
        <w:t>, so the loader takes the weight-only path — and they therefore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rather than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 Appendix G.1 and G.2 list them with each criterion quoted as frozen. The rest are post hoc (including the choice of tiling level, weight set and aggregation convention), which is why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and the candidate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rather than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rather than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The image corpora are public datasets, cited above. The derived per-image prediction records, analysis scripts and run logs that reproduce every reported number are released or flagged at https://github.com/YBP2005/P3 (CC BY 4.0), with per-file MD5s.</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Zhang, Y., Zhou, D., Chen, S., Gao, S., Ma, Y. Single-Image Crowd Counting via Multi-Column Convolutional Neural Network. CVPR 2016. https://doi.org/10.1109/CVPR.2016.70.</w:t>
      </w:r>
    </w:p>
    <w:p>
      <w:r>
        <w:rPr>
          <w:rFonts w:ascii="Times New Roman" w:hAnsi="Times New Roman"/>
          <w:b w:val="0"/>
          <w:i w:val="0"/>
          <w:sz w:val="20"/>
        </w:rPr>
        <w:t>4. Chen, Z., Wang, W., Cao, Y., et al. Expanding Performance Boundaries of Open-Source Multimodal Models with Model, Data, and Test-Time Scaling. preprint arXiv:2412.05271, 2024.</w:t>
      </w:r>
    </w:p>
    <w:p>
      <w:r>
        <w:rPr>
          <w:rFonts w:ascii="Times New Roman" w:hAnsi="Times New Roman"/>
          <w:b w:val="0"/>
          <w:i w:val="0"/>
          <w:sz w:val="20"/>
        </w:rPr>
        <w:t>5. Ranjan, V., Sharma, U., Nguyen, T., Hoai, M. Learning To Count Everything. CVPR 2021. preprint arXiv:2104.08391.</w:t>
      </w:r>
    </w:p>
    <w:p>
      <w:r>
        <w:rPr>
          <w:rFonts w:ascii="Times New Roman" w:hAnsi="Times New Roman"/>
          <w:b w:val="0"/>
          <w:i w:val="0"/>
          <w:sz w:val="20"/>
        </w:rPr>
        <w:t>6. Lempitsky, V., Zisserman, A. Learning To Count Objects in Images. NIPS 2010.</w:t>
      </w:r>
    </w:p>
    <w:p>
      <w:r>
        <w:rPr>
          <w:rFonts w:ascii="Times New Roman" w:hAnsi="Times New Roman"/>
          <w:b w:val="0"/>
          <w:i w:val="0"/>
          <w:sz w:val="20"/>
        </w:rPr>
        <w:t>7. Chen, Y.-Y., Guo, L.-Z. TriViewBench: Controlled Complexity Scaling for Multi-View Structural Reasoning in MLLMs. preprint arXiv:2606.26029, 2026.</w:t>
      </w:r>
    </w:p>
    <w:p>
      <w:r>
        <w:rPr>
          <w:rFonts w:ascii="Times New Roman" w:hAnsi="Times New Roman"/>
          <w:b w:val="0"/>
          <w:i w:val="0"/>
          <w:sz w:val="20"/>
        </w:rPr>
        <w:t>8.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9.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10. Chow, C. K. On optimum recognition error and reject tradeoff. IEEE Trans. Inf. Theory 16 (1970) 41-46. https://doi.org/10.1109/TIT.1970.1054406.</w:t>
      </w:r>
    </w:p>
    <w:p>
      <w:r>
        <w:rPr>
          <w:rFonts w:ascii="Times New Roman" w:hAnsi="Times New Roman"/>
          <w:b w:val="0"/>
          <w:i w:val="0"/>
          <w:sz w:val="20"/>
        </w:rPr>
        <w:t>11. Hendrycks, D., Gimpel, K. A Baseline for Detecting Misclassified and Out-of-Distribution Examples in Neural Networks. preprint arXiv:1610.02136, 2016.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 and Z</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