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i w:val="0"/>
          <w:sz w:val="24"/>
        </w:rPr>
        <w:t>Answered-zero outputs dominate the aggregate under-count in dense VLM counting: signed error direction as a measurable dimension</w:t>
      </w:r>
    </w:p>
    <w:p>
      <w:pPr>
        <w:jc w:val="center"/>
      </w:pPr>
      <w:r>
        <w:rPr>
          <w:rFonts w:ascii="Times New Roman" w:hAnsi="Times New Roman"/>
          <w:b w:val="0"/>
          <w:i w:val="0"/>
          <w:sz w:val="16"/>
        </w:rPr>
        <w:t>— — —</w:t>
      </w:r>
    </w:p>
    <w:p>
      <w:pPr>
        <w:pStyle w:val="Heading2"/>
      </w:pPr>
      <w:r>
        <w:rPr>
          <w:rFonts w:ascii="Times New Roman" w:hAnsi="Times New Roman"/>
          <w:b/>
          <w:i w:val="0"/>
          <w:sz w:val="24"/>
        </w:rPr>
        <w:t>Abstract</w:t>
      </w:r>
    </w:p>
    <w:p>
      <w:r>
        <w:rPr>
          <w:rFonts w:ascii="Times New Roman" w:hAnsi="Times New Roman"/>
          <w:b w:val="0"/>
          <w:i w:val="0"/>
          <w:sz w:val="20"/>
        </w:rPr>
        <w:t xml:space="preserve">Symmetric magnitudes look alike: a count of 100 and one of 150. We contribute </w:t>
      </w:r>
      <w:r>
        <w:rPr>
          <w:rFonts w:ascii="Times New Roman" w:hAnsi="Times New Roman"/>
          <w:b/>
          <w:i w:val="0"/>
          <w:sz w:val="20"/>
        </w:rPr>
        <w:t>two findings plus the apparatus that makes them checkable</w:t>
      </w:r>
      <w:r>
        <w:rPr>
          <w:rFonts w:ascii="Times New Roman" w:hAnsi="Times New Roman"/>
          <w:b w:val="0"/>
          <w:i w:val="0"/>
          <w:sz w:val="20"/>
        </w:rPr>
        <w:t xml:space="preserve">: an </w:t>
      </w:r>
      <w:r>
        <w:rPr>
          <w:rFonts w:ascii="Times New Roman" w:hAnsi="Times New Roman"/>
          <w:b/>
          <w:i w:val="0"/>
          <w:sz w:val="20"/>
        </w:rPr>
        <w:t>operationalisation</w:t>
      </w:r>
      <w:r>
        <w:rPr>
          <w:rFonts w:ascii="Times New Roman" w:hAnsi="Times New Roman"/>
          <w:b w:val="0"/>
          <w:i w:val="0"/>
          <w:sz w:val="20"/>
        </w:rPr>
        <w:t xml:space="preserve"> of abstention that separates a suppressed abstention from a true zero, and the </w:t>
      </w:r>
      <w:r>
        <w:rPr>
          <w:rFonts w:ascii="Times New Roman" w:hAnsi="Times New Roman"/>
          <w:b/>
          <w:i w:val="0"/>
          <w:sz w:val="20"/>
        </w:rPr>
        <w:t>dual-convention identities</w:t>
      </w:r>
      <w:r>
        <w:rPr>
          <w:rFonts w:ascii="Times New Roman" w:hAnsi="Times New Roman"/>
          <w:b w:val="0"/>
          <w:i w:val="0"/>
          <w:sz w:val="20"/>
        </w:rPr>
        <w:t xml:space="preserve"> that make under-counts readable. For </w:t>
      </w:r>
      <w:r>
        <w:rPr>
          <w:rFonts w:ascii="Times New Roman" w:hAnsi="Times New Roman"/>
          <w:b/>
          <w:i w:val="0"/>
          <w:sz w:val="20"/>
        </w:rPr>
        <w:t>one anchor build under Chinese base prompts</w:t>
      </w:r>
      <w:r>
        <w:rPr>
          <w:rFonts w:ascii="Times New Roman" w:hAnsi="Times New Roman"/>
          <w:b w:val="0"/>
          <w:i w:val="0"/>
          <w:sz w:val="20"/>
        </w:rPr>
        <w:t xml:space="preserve"> </w:t>
      </w:r>
      <w:r>
        <w:rPr>
          <w:rFonts w:ascii="Times New Roman" w:hAnsi="Times New Roman"/>
          <w:b/>
          <w:i w:val="0"/>
          <w:sz w:val="20"/>
        </w:rPr>
        <w:t>answered-zero outputs</w:t>
      </w:r>
      <w:r>
        <w:rPr>
          <w:rFonts w:ascii="Times New Roman" w:hAnsi="Times New Roman"/>
          <w:b w:val="0"/>
          <w:i w:val="0"/>
          <w:sz w:val="20"/>
        </w:rPr>
        <w:t xml:space="preserve"> account for </w:t>
      </w:r>
      <w:r>
        <w:rPr>
          <w:rFonts w:ascii="Times New Roman" w:hAnsi="Times New Roman"/>
          <w:b/>
          <w:i w:val="0"/>
          <w:sz w:val="20"/>
        </w:rPr>
        <w:t>82–94%</w:t>
      </w:r>
      <w:r>
        <w:rPr>
          <w:rFonts w:ascii="Times New Roman" w:hAnsi="Times New Roman"/>
          <w:b w:val="0"/>
          <w:i w:val="0"/>
          <w:sz w:val="20"/>
        </w:rPr>
        <w:t xml:space="preserve"> of the net under-count under ground-truth-weighted share (</w:t>
      </w:r>
      <w:r>
        <w:rPr>
          <w:rFonts w:ascii="Times New Roman" w:hAnsi="Times New Roman"/>
          <w:b/>
          <w:i w:val="0"/>
          <w:sz w:val="20"/>
        </w:rPr>
        <w:t>base arm</w:t>
      </w:r>
      <w:r>
        <w:rPr>
          <w:rFonts w:ascii="Times New Roman" w:hAnsi="Times New Roman"/>
          <w:b w:val="0"/>
          <w:i w:val="0"/>
          <w:sz w:val="20"/>
        </w:rPr>
        <w:t xml:space="preserve">); contract interventions change </w:t>
      </w:r>
      <w:r>
        <w:rPr>
          <w:rFonts w:ascii="Times New Roman" w:hAnsi="Times New Roman"/>
          <w:b/>
          <w:i w:val="0"/>
          <w:sz w:val="20"/>
        </w:rPr>
        <w:t>observable response channels</w:t>
      </w:r>
      <w:r>
        <w:rPr>
          <w:rFonts w:ascii="Times New Roman" w:hAnsi="Times New Roman"/>
          <w:b w:val="0"/>
          <w:i w:val="0"/>
          <w:sz w:val="20"/>
        </w:rPr>
        <w:t xml:space="preserve">, and the </w:t>
      </w:r>
      <w:r>
        <w:rPr>
          <w:rFonts w:ascii="Times New Roman" w:hAnsi="Times New Roman"/>
          <w:b/>
          <w:i w:val="0"/>
          <w:sz w:val="20"/>
        </w:rPr>
        <w:t>item-count</w:t>
      </w:r>
      <w:r>
        <w:rPr>
          <w:rFonts w:ascii="Times New Roman" w:hAnsi="Times New Roman"/>
          <w:b w:val="0"/>
          <w:i w:val="0"/>
          <w:sz w:val="20"/>
        </w:rPr>
        <w:t xml:space="preserve"> abstention rate is </w:t>
      </w:r>
      <w:r>
        <w:rPr>
          <w:rFonts w:ascii="Times New Roman" w:hAnsi="Times New Roman"/>
          <w:b/>
          <w:i w:val="0"/>
          <w:sz w:val="20"/>
        </w:rPr>
        <w:t>53.9–68.2%</w:t>
      </w:r>
      <w:r>
        <w:rPr>
          <w:rFonts w:ascii="Times New Roman" w:hAnsi="Times New Roman"/>
          <w:b w:val="0"/>
          <w:i w:val="0"/>
          <w:sz w:val="20"/>
        </w:rPr>
        <w:t xml:space="preserve">. The </w:t>
      </w:r>
      <w:r>
        <w:rPr>
          <w:rFonts w:ascii="Times New Roman" w:hAnsi="Times New Roman"/>
          <w:b/>
          <w:i w:val="0"/>
          <w:sz w:val="20"/>
        </w:rPr>
        <w:t>answered-zero rate</w:t>
      </w:r>
      <w:r>
        <w:rPr>
          <w:rFonts w:ascii="Times New Roman" w:hAnsi="Times New Roman"/>
          <w:b w:val="0"/>
          <w:i w:val="0"/>
          <w:sz w:val="20"/>
        </w:rPr>
        <w:t xml:space="preserve"> drops </w:t>
      </w:r>
      <w:r>
        <w:rPr>
          <w:rFonts w:ascii="Times New Roman" w:hAnsi="Times New Roman"/>
          <w:b/>
          <w:i w:val="0"/>
          <w:sz w:val="20"/>
        </w:rPr>
        <w:t>42.7 pp on the BF16 build under English</w:t>
      </w:r>
      <w:r>
        <w:rPr>
          <w:rFonts w:ascii="Times New Roman" w:hAnsi="Times New Roman"/>
          <w:b w:val="0"/>
          <w:i w:val="0"/>
          <w:sz w:val="20"/>
        </w:rPr>
        <w:t xml:space="preserve"> (§8.2). Removing the answered zero does not turn an abstaining model into an accurate counter: the zero is a channel, not the error. Given an abstention option </w:t>
      </w:r>
      <w:r>
        <w:rPr>
          <w:rFonts w:ascii="Times New Roman" w:hAnsi="Times New Roman"/>
          <w:b/>
          <w:i w:val="0"/>
          <w:sz w:val="20"/>
        </w:rPr>
        <w:t>1591/1591</w:t>
      </w:r>
      <w:r>
        <w:rPr>
          <w:rFonts w:ascii="Times New Roman" w:hAnsi="Times New Roman"/>
          <w:b w:val="0"/>
          <w:i w:val="0"/>
          <w:sz w:val="20"/>
        </w:rPr>
        <w:t xml:space="preserve"> calls abstain; forbidding it yields a </w:t>
      </w:r>
      <w:r>
        <w:rPr>
          <w:rFonts w:ascii="Times New Roman" w:hAnsi="Times New Roman"/>
          <w:b/>
          <w:i w:val="0"/>
          <w:sz w:val="20"/>
        </w:rPr>
        <w:t>per-item median</w:t>
      </w:r>
      <w:r>
        <w:rPr>
          <w:rFonts w:ascii="Times New Roman" w:hAnsi="Times New Roman"/>
          <w:b w:val="0"/>
          <w:i w:val="0"/>
          <w:sz w:val="20"/>
        </w:rPr>
        <w:t xml:space="preserve"> of </w:t>
      </w:r>
      <w:r>
        <w:rPr>
          <w:rFonts w:ascii="Times New Roman" w:hAnsi="Times New Roman"/>
          <w:b/>
          <w:i w:val="0"/>
          <w:sz w:val="20"/>
        </w:rPr>
        <w:t>2.463–9.452×</w:t>
      </w:r>
      <w:r>
        <w:rPr>
          <w:rFonts w:ascii="Times New Roman" w:hAnsi="Times New Roman"/>
          <w:b w:val="0"/>
          <w:i w:val="0"/>
          <w:sz w:val="20"/>
        </w:rPr>
        <w:t xml:space="preserve"> (§5.7, M.1). The gate is </w:t>
      </w:r>
      <w:r>
        <w:rPr>
          <w:rFonts w:ascii="Times New Roman" w:hAnsi="Times New Roman"/>
          <w:b/>
          <w:i w:val="0"/>
          <w:sz w:val="20"/>
        </w:rPr>
        <w:t>availability of an abstention token</w:t>
      </w:r>
      <w:r>
        <w:rPr>
          <w:rFonts w:ascii="Times New Roman" w:hAnsi="Times New Roman"/>
          <w:b w:val="0"/>
          <w:i w:val="0"/>
          <w:sz w:val="20"/>
        </w:rPr>
        <w:t>, not demand. Abstention is behaviour, not a capability ceiling: gated by legibility, removable by tiling (</w:t>
      </w:r>
      <w:r>
        <w:rPr>
          <w:rFonts w:ascii="Times New Roman" w:hAnsi="Times New Roman"/>
          <w:b/>
          <w:i w:val="0"/>
          <w:sz w:val="20"/>
        </w:rPr>
        <w:t>56.6% → 0.0%</w:t>
      </w:r>
      <w:r>
        <w:rPr>
          <w:rFonts w:ascii="Times New Roman" w:hAnsi="Times New Roman"/>
          <w:b w:val="0"/>
          <w:i w:val="0"/>
          <w:sz w:val="20"/>
        </w:rPr>
        <w:t xml:space="preserve"> on the anchor build) or, at a directional cost, by prompt relaxation (</w:t>
      </w:r>
      <w:r>
        <w:rPr>
          <w:rFonts w:ascii="Times New Roman" w:hAnsi="Times New Roman"/>
          <w:b/>
          <w:i w:val="0"/>
          <w:sz w:val="20"/>
        </w:rPr>
        <w:t>−82% → +234%</w:t>
      </w:r>
      <w:r>
        <w:rPr>
          <w:rFonts w:ascii="Times New Roman" w:hAnsi="Times New Roman"/>
          <w:b w:val="0"/>
          <w:i w:val="0"/>
          <w:sz w:val="20"/>
        </w:rPr>
        <w:t xml:space="preserve">). Direction span is a property of implementation × training domain × data domain × protocol, not a paradigm — </w:t>
      </w:r>
      <w:r>
        <w:rPr>
          <w:rFonts w:ascii="Times New Roman" w:hAnsi="Times New Roman"/>
          <w:b/>
          <w:i w:val="0"/>
          <w:sz w:val="20"/>
        </w:rPr>
        <w:t>2–3.4×</w:t>
      </w:r>
      <w:r>
        <w:rPr>
          <w:rFonts w:ascii="Times New Roman" w:hAnsi="Times New Roman"/>
          <w:b w:val="0"/>
          <w:i w:val="0"/>
          <w:sz w:val="20"/>
        </w:rPr>
        <w:t xml:space="preserve"> across implementations under a </w:t>
      </w:r>
      <w:r>
        <w:rPr>
          <w:rFonts w:ascii="Times New Roman" w:hAnsi="Times New Roman"/>
          <w:b/>
          <w:i w:val="0"/>
          <w:sz w:val="20"/>
        </w:rPr>
        <w:t>shared</w:t>
      </w:r>
      <w:r>
        <w:rPr>
          <w:rFonts w:ascii="Times New Roman" w:hAnsi="Times New Roman"/>
          <w:b w:val="0"/>
          <w:i w:val="0"/>
          <w:sz w:val="20"/>
        </w:rPr>
        <w:t xml:space="preserve"> protocol (DM-Count </w:t>
      </w:r>
      <w:r>
        <w:rPr>
          <w:rFonts w:ascii="Times New Roman" w:hAnsi="Times New Roman"/>
          <w:b/>
          <w:i w:val="0"/>
          <w:sz w:val="20"/>
        </w:rPr>
        <w:t>20.1–34.3 pp</w:t>
      </w:r>
      <w:r>
        <w:rPr>
          <w:rFonts w:ascii="Times New Roman" w:hAnsi="Times New Roman"/>
          <w:b w:val="0"/>
          <w:i w:val="0"/>
          <w:sz w:val="20"/>
        </w:rPr>
        <w:t xml:space="preserve"> vs P2PNet [1] </w:t>
      </w:r>
      <w:r>
        <w:rPr>
          <w:rFonts w:ascii="Times New Roman" w:hAnsi="Times New Roman"/>
          <w:b/>
          <w:i w:val="0"/>
          <w:sz w:val="20"/>
        </w:rPr>
        <w:t>10.1 pp</w:t>
      </w:r>
      <w:r>
        <w:rPr>
          <w:rFonts w:ascii="Times New Roman" w:hAnsi="Times New Roman"/>
          <w:b w:val="0"/>
          <w:i w:val="0"/>
          <w:sz w:val="20"/>
        </w:rPr>
        <w:t xml:space="preserve">), </w:t>
      </w:r>
      <w:r>
        <w:rPr>
          <w:rFonts w:ascii="Times New Roman" w:hAnsi="Times New Roman"/>
          <w:b/>
          <w:i w:val="0"/>
          <w:sz w:val="20"/>
        </w:rPr>
        <w:t>3.5×</w:t>
      </w:r>
      <w:r>
        <w:rPr>
          <w:rFonts w:ascii="Times New Roman" w:hAnsi="Times New Roman"/>
          <w:b w:val="0"/>
          <w:i w:val="0"/>
          <w:sz w:val="20"/>
        </w:rPr>
        <w:t xml:space="preserve"> under a domain swap, and a defective reproduction as an </w:t>
      </w:r>
      <w:r>
        <w:rPr>
          <w:rFonts w:ascii="Times New Roman" w:hAnsi="Times New Roman"/>
          <w:b/>
          <w:i w:val="0"/>
          <w:sz w:val="20"/>
        </w:rPr>
        <w:t>implementation defect</w:t>
      </w:r>
      <w:r>
        <w:rPr>
          <w:rFonts w:ascii="Times New Roman" w:hAnsi="Times New Roman"/>
          <w:b w:val="0"/>
          <w:i w:val="0"/>
          <w:sz w:val="20"/>
        </w:rPr>
        <w:t xml:space="preserve"> (§6.1, K). What replicates under </w:t>
      </w:r>
      <w:r>
        <w:rPr>
          <w:rFonts w:ascii="Times New Roman" w:hAnsi="Times New Roman"/>
          <w:b/>
          <w:i w:val="0"/>
          <w:sz w:val="20"/>
        </w:rPr>
        <w:t>shared calibration</w:t>
      </w:r>
      <w:r>
        <w:rPr>
          <w:rFonts w:ascii="Times New Roman" w:hAnsi="Times New Roman"/>
          <w:b w:val="0"/>
          <w:i w:val="0"/>
          <w:sz w:val="20"/>
        </w:rPr>
        <w:t xml:space="preserve"> is the </w:t>
      </w:r>
      <w:r>
        <w:rPr>
          <w:rFonts w:ascii="Times New Roman" w:hAnsi="Times New Roman"/>
          <w:b/>
          <w:i w:val="0"/>
          <w:sz w:val="20"/>
        </w:rPr>
        <w:t>ordering</w:t>
      </w:r>
      <w:r>
        <w:rPr>
          <w:rFonts w:ascii="Times New Roman" w:hAnsi="Times New Roman"/>
          <w:b w:val="0"/>
          <w:i w:val="0"/>
          <w:sz w:val="20"/>
        </w:rPr>
        <w:t xml:space="preserve"> of these spans, not their magnitudes, for one anchor build, one prompt language and the </w:t>
      </w:r>
      <w:r>
        <w:rPr>
          <w:rFonts w:ascii="Times New Roman" w:hAnsi="Times New Roman"/>
          <w:b/>
          <w:i w:val="0"/>
          <w:sz w:val="20"/>
        </w:rPr>
        <w:t>level sets and calibers compared</w:t>
      </w:r>
      <w:r>
        <w:rPr>
          <w:rFonts w:ascii="Times New Roman" w:hAnsi="Times New Roman"/>
          <w:b w:val="0"/>
          <w:i w:val="0"/>
          <w:sz w:val="20"/>
        </w:rPr>
        <w:t xml:space="preserve"> (§7.3).</w:t>
      </w:r>
    </w:p>
    <w:p>
      <w:pPr>
        <w:pStyle w:val="Heading2"/>
      </w:pPr>
      <w:r>
        <w:rPr>
          <w:rFonts w:ascii="Times New Roman" w:hAnsi="Times New Roman"/>
          <w:b/>
          <w:i w:val="0"/>
          <w:sz w:val="24"/>
        </w:rPr>
        <w:t>1. Introduction</w:t>
      </w:r>
    </w:p>
    <w:p>
      <w:r>
        <w:rPr>
          <w:rFonts w:ascii="Times New Roman" w:hAnsi="Times New Roman"/>
          <w:b/>
          <w:i w:val="0"/>
          <w:sz w:val="20"/>
        </w:rPr>
        <w:t>Motivation and the evaluation gap.</w:t>
      </w:r>
      <w:r>
        <w:rPr>
          <w:rFonts w:ascii="Times New Roman" w:hAnsi="Times New Roman"/>
          <w:b w:val="0"/>
          <w:i w:val="0"/>
          <w:sz w:val="20"/>
        </w:rPr>
        <w:t xml:space="preserve"> In surveillance and resource scheduling the two error directions are </w:t>
      </w:r>
      <w:r>
        <w:rPr>
          <w:rFonts w:ascii="Times New Roman" w:hAnsi="Times New Roman"/>
          <w:b/>
          <w:i w:val="0"/>
          <w:sz w:val="20"/>
        </w:rPr>
        <w:t>asymmetric</w:t>
      </w:r>
      <w:r>
        <w:rPr>
          <w:rFonts w:ascii="Times New Roman" w:hAnsi="Times New Roman"/>
          <w:b w:val="0"/>
          <w:i w:val="0"/>
          <w:sz w:val="20"/>
        </w:rPr>
        <w:t xml:space="preserve">: missing objects and double-counting are not equivalent, and most safety and inventory settings prefer over- to under-counting. The error's </w:t>
      </w:r>
      <w:r>
        <w:rPr>
          <w:rFonts w:ascii="Times New Roman" w:hAnsi="Times New Roman"/>
          <w:b/>
          <w:i w:val="0"/>
          <w:sz w:val="20"/>
        </w:rPr>
        <w:t>signed direction</w:t>
      </w:r>
      <w:r>
        <w:rPr>
          <w:rFonts w:ascii="Times New Roman" w:hAnsi="Times New Roman"/>
          <w:b w:val="0"/>
          <w:i w:val="0"/>
          <w:sz w:val="20"/>
        </w:rPr>
        <w:t xml:space="preserve"> has therefore remained implicit. Our first question is: </w:t>
      </w:r>
      <w:r>
        <w:rPr>
          <w:rFonts w:ascii="Times New Roman" w:hAnsi="Times New Roman"/>
          <w:b w:val="0"/>
          <w:i/>
          <w:sz w:val="20"/>
        </w:rPr>
        <w:t>can a counting system's error direction be manipulated systematically, and what sets the range over which it can be moved?</w:t>
      </w:r>
      <w:r>
        <w:rPr>
          <w:rFonts w:ascii="Times New Roman" w:hAnsi="Times New Roman"/>
          <w:b w:val="0"/>
          <w:i w:val="0"/>
          <w:sz w:val="20"/>
        </w:rPr>
        <w:t xml:space="preserve"> (Appendix M.11)</w:t>
      </w:r>
    </w:p>
    <w:p>
      <w:r>
        <w:rPr>
          <w:rFonts w:ascii="Times New Roman" w:hAnsi="Times New Roman"/>
          <w:b/>
          <w:i w:val="0"/>
          <w:sz w:val="20"/>
        </w:rPr>
        <w:t>A prior question.</w:t>
      </w:r>
      <w:r>
        <w:rPr>
          <w:rFonts w:ascii="Times New Roman" w:hAnsi="Times New Roman"/>
          <w:b w:val="0"/>
          <w:i w:val="0"/>
          <w:sz w:val="20"/>
        </w:rPr>
        <w:t xml:space="preserve"> Before that, we examined a widely accepted premise: that vision-language models (VLMs) systematically underestimate dense scenes, which prior work treats as a </w:t>
      </w:r>
      <w:r>
        <w:rPr>
          <w:rFonts w:ascii="Times New Roman" w:hAnsi="Times New Roman"/>
          <w:b/>
          <w:i w:val="0"/>
          <w:sz w:val="20"/>
        </w:rPr>
        <w:t>capability</w:t>
      </w:r>
      <w:r>
        <w:rPr>
          <w:rFonts w:ascii="Times New Roman" w:hAnsi="Times New Roman"/>
          <w:b w:val="0"/>
          <w:i w:val="0"/>
          <w:sz w:val="20"/>
        </w:rPr>
        <w:t xml:space="preserve"> problem. Re-classifying every outcome in our corpus (892 result files, ~</w:t>
      </w:r>
      <w:r>
        <w:rPr>
          <w:rFonts w:ascii="Times New Roman" w:hAnsi="Times New Roman"/>
          <w:b/>
          <w:i w:val="0"/>
          <w:sz w:val="20"/>
        </w:rPr>
        <w:t>620k</w:t>
      </w:r>
      <w:r>
        <w:rPr>
          <w:rFonts w:ascii="Times New Roman" w:hAnsi="Times New Roman"/>
          <w:b w:val="0"/>
          <w:i w:val="0"/>
          <w:sz w:val="20"/>
        </w:rPr>
        <w:t xml:space="preserve"> records, four VLM configurations, nine datasets), we find that </w:t>
      </w:r>
      <w:r>
        <w:rPr>
          <w:rFonts w:ascii="Times New Roman" w:hAnsi="Times New Roman"/>
          <w:b/>
          <w:i w:val="0"/>
          <w:sz w:val="20"/>
        </w:rPr>
        <w:t>answered-zero outputs, not underestimation, carry the bulk of these "underestimates"</w:t>
      </w:r>
      <w:r>
        <w:rPr>
          <w:rFonts w:ascii="Times New Roman" w:hAnsi="Times New Roman"/>
          <w:b w:val="0"/>
          <w:i w:val="0"/>
          <w:sz w:val="20"/>
        </w:rPr>
        <w:t xml:space="preserve">: a literal </w:t>
      </w:r>
      <w:r>
        <w:rPr>
          <w:rFonts w:ascii="Times New Roman" w:hAnsi="Times New Roman"/>
          <w:b/>
          <w:i w:val="0"/>
          <w:sz w:val="20"/>
        </w:rPr>
        <w:t>"0"</w:t>
      </w:r>
      <w:r>
        <w:rPr>
          <w:rFonts w:ascii="Times New Roman" w:hAnsi="Times New Roman"/>
          <w:b w:val="0"/>
          <w:i w:val="0"/>
          <w:sz w:val="20"/>
        </w:rPr>
        <w:t xml:space="preserve"> is emitted on instances it does not resolve, and the latent state behind it is </w:t>
      </w:r>
      <w:r>
        <w:rPr>
          <w:rFonts w:ascii="Times New Roman" w:hAnsi="Times New Roman"/>
          <w:b/>
          <w:i w:val="0"/>
          <w:sz w:val="20"/>
        </w:rPr>
        <w:t>not identified</w:t>
      </w:r>
      <w:r>
        <w:rPr>
          <w:rFonts w:ascii="Times New Roman" w:hAnsi="Times New Roman"/>
          <w:b w:val="0"/>
          <w:i w:val="0"/>
          <w:sz w:val="20"/>
        </w:rPr>
        <w:t xml:space="preserve">. Under a ground-truth-weighted convention on one anchor build, answered-zero outputs account for </w:t>
      </w:r>
      <w:r>
        <w:rPr>
          <w:rFonts w:ascii="Times New Roman" w:hAnsi="Times New Roman"/>
          <w:b/>
          <w:i w:val="0"/>
          <w:sz w:val="20"/>
        </w:rPr>
        <w:t>82–94%</w:t>
      </w:r>
      <w:r>
        <w:rPr>
          <w:rFonts w:ascii="Times New Roman" w:hAnsi="Times New Roman"/>
          <w:b w:val="0"/>
          <w:i w:val="0"/>
          <w:sz w:val="20"/>
        </w:rPr>
        <w:t xml:space="preserve"> of the net under-count (</w:t>
      </w:r>
      <w:r>
        <w:rPr>
          <w:rFonts w:ascii="Times New Roman" w:hAnsi="Times New Roman"/>
          <w:b/>
          <w:i w:val="0"/>
          <w:sz w:val="20"/>
        </w:rPr>
        <w:t>base contract arm, Chinese prompts</w:t>
      </w:r>
      <w:r>
        <w:rPr>
          <w:rFonts w:ascii="Times New Roman" w:hAnsi="Times New Roman"/>
          <w:b w:val="0"/>
          <w:i w:val="0"/>
          <w:sz w:val="20"/>
        </w:rPr>
        <w:t xml:space="preserve">; the full range over arms and domains is in Appendix J.1); the </w:t>
      </w:r>
      <w:r>
        <w:rPr>
          <w:rFonts w:ascii="Times New Roman" w:hAnsi="Times New Roman"/>
          <w:b/>
          <w:i w:val="0"/>
          <w:sz w:val="20"/>
        </w:rPr>
        <w:t>answered-zero rate</w:t>
      </w:r>
      <w:r>
        <w:rPr>
          <w:rFonts w:ascii="Times New Roman" w:hAnsi="Times New Roman"/>
          <w:b w:val="0"/>
          <w:i w:val="0"/>
          <w:sz w:val="20"/>
        </w:rPr>
        <w:t xml:space="preserve"> drops </w:t>
      </w:r>
      <w:r>
        <w:rPr>
          <w:rFonts w:ascii="Times New Roman" w:hAnsi="Times New Roman"/>
          <w:b/>
          <w:i w:val="0"/>
          <w:sz w:val="20"/>
        </w:rPr>
        <w:t>42.7 pp on the BF16 build under English prompts</w:t>
      </w:r>
      <w:r>
        <w:rPr>
          <w:rFonts w:ascii="Times New Roman" w:hAnsi="Times New Roman"/>
          <w:b w:val="0"/>
          <w:i w:val="0"/>
          <w:sz w:val="20"/>
        </w:rPr>
        <w:t xml:space="preserve"> (Appendix M.39).</w:t>
      </w:r>
    </w:p>
    <w:p>
      <w:r>
        <w:rPr>
          <w:rFonts w:ascii="Times New Roman" w:hAnsi="Times New Roman"/>
          <w:b/>
          <w:i w:val="0"/>
          <w:sz w:val="20"/>
        </w:rPr>
        <w:t>Why separating the two is not a matter of terminology.</w:t>
      </w:r>
      <w:r>
        <w:rPr>
          <w:rFonts w:ascii="Times New Roman" w:hAnsi="Times New Roman"/>
          <w:b w:val="0"/>
          <w:i w:val="0"/>
          <w:sz w:val="20"/>
        </w:rPr>
        <w:t xml:space="preserve"> A model answering a literal 0 on 60% of dense images and underestimating by 20% on the rest reads, conventionally, as </w:t>
      </w:r>
      <w:r>
        <w:rPr>
          <w:rFonts w:ascii="Times New Roman" w:hAnsi="Times New Roman"/>
          <w:b w:val="0"/>
          <w:i/>
          <w:sz w:val="20"/>
        </w:rPr>
        <w:t>mild underestimation</w:t>
      </w:r>
      <w:r>
        <w:rPr>
          <w:rFonts w:ascii="Times New Roman" w:hAnsi="Times New Roman"/>
          <w:b w:val="0"/>
          <w:i w:val="0"/>
          <w:sz w:val="20"/>
        </w:rPr>
        <w:t xml:space="preserve"> — whereas on six images in ten it </w:t>
      </w:r>
      <w:r>
        <w:rPr>
          <w:rFonts w:ascii="Times New Roman" w:hAnsi="Times New Roman"/>
          <w:b/>
          <w:i w:val="0"/>
          <w:sz w:val="20"/>
        </w:rPr>
        <w:t>answers nothing at all</w:t>
      </w:r>
      <w:r>
        <w:rPr>
          <w:rFonts w:ascii="Times New Roman" w:hAnsi="Times New Roman"/>
          <w:b w:val="0"/>
          <w:i w:val="0"/>
          <w:sz w:val="20"/>
        </w:rPr>
        <w:t xml:space="preserve">. The remedies are opposite: retraining or calibration versus changing the </w:t>
      </w:r>
      <w:r>
        <w:rPr>
          <w:rFonts w:ascii="Times New Roman" w:hAnsi="Times New Roman"/>
          <w:b/>
          <w:i w:val="0"/>
          <w:sz w:val="20"/>
        </w:rPr>
        <w:t>input protocol</w:t>
      </w:r>
      <w:r>
        <w:rPr>
          <w:rFonts w:ascii="Times New Roman" w:hAnsi="Times New Roman"/>
          <w:b w:val="0"/>
          <w:i w:val="0"/>
          <w:sz w:val="20"/>
        </w:rPr>
        <w:t xml:space="preserve">. Worse, recording a refusal as "predicted 0" makes it </w:t>
      </w:r>
      <w:r>
        <w:rPr>
          <w:rFonts w:ascii="Times New Roman" w:hAnsi="Times New Roman"/>
          <w:b/>
          <w:i w:val="0"/>
          <w:sz w:val="20"/>
        </w:rPr>
        <w:t>masquerade as conservative</w:t>
      </w:r>
      <w:r>
        <w:rPr>
          <w:rFonts w:ascii="Times New Roman" w:hAnsi="Times New Roman"/>
          <w:b w:val="0"/>
          <w:i w:val="0"/>
          <w:sz w:val="20"/>
        </w:rPr>
        <w:t>, which a safety deployment least wants.</w:t>
      </w:r>
    </w:p>
    <w:p>
      <w:r>
        <w:rPr>
          <w:rFonts w:ascii="Times New Roman" w:hAnsi="Times New Roman"/>
          <w:b/>
          <w:i w:val="0"/>
          <w:sz w:val="20"/>
        </w:rPr>
        <w:t>The second half of the gap.</w:t>
      </w:r>
      <w:r>
        <w:rPr>
          <w:rFonts w:ascii="Times New Roman" w:hAnsi="Times New Roman"/>
          <w:b w:val="0"/>
          <w:i w:val="0"/>
          <w:sz w:val="20"/>
        </w:rPr>
        <w:t xml:space="preserve"> Selective prediction and abstention-aware classification have well-developed criteria [2], and regression now carries a reject option too [3], [4] — all treating abstention as </w:t>
      </w:r>
      <w:r>
        <w:rPr>
          <w:rFonts w:ascii="Times New Roman" w:hAnsi="Times New Roman"/>
          <w:b/>
          <w:i w:val="0"/>
          <w:sz w:val="20"/>
        </w:rPr>
        <w:t>explicit</w:t>
      </w:r>
      <w:r>
        <w:rPr>
          <w:rFonts w:ascii="Times New Roman" w:hAnsi="Times New Roman"/>
          <w:b w:val="0"/>
          <w:i w:val="0"/>
          <w:sz w:val="20"/>
        </w:rPr>
        <w:t xml:space="preserve">: classification, question answering, reasoning, regression. Counting differs: abstention is </w:t>
      </w:r>
      <w:r>
        <w:rPr>
          <w:rFonts w:ascii="Times New Roman" w:hAnsi="Times New Roman"/>
          <w:b/>
          <w:i w:val="0"/>
          <w:sz w:val="20"/>
        </w:rPr>
        <w:t>implicit</w:t>
      </w:r>
      <w:r>
        <w:rPr>
          <w:rFonts w:ascii="Times New Roman" w:hAnsi="Times New Roman"/>
          <w:b w:val="0"/>
          <w:i w:val="0"/>
          <w:sz w:val="20"/>
        </w:rPr>
        <w:t xml:space="preserve"> (a literal 0, indistinguishable at the output level from an estimate of zero); costs are </w:t>
      </w:r>
      <w:r>
        <w:rPr>
          <w:rFonts w:ascii="Times New Roman" w:hAnsi="Times New Roman"/>
          <w:b/>
          <w:i w:val="0"/>
          <w:sz w:val="20"/>
        </w:rPr>
        <w:t>asymmetric</w:t>
      </w:r>
      <w:r>
        <w:rPr>
          <w:rFonts w:ascii="Times New Roman" w:hAnsi="Times New Roman"/>
          <w:b w:val="0"/>
          <w:i w:val="0"/>
          <w:sz w:val="20"/>
        </w:rPr>
        <w:t xml:space="preserve">; and </w:t>
      </w:r>
      <w:r>
        <w:rPr>
          <w:rFonts w:ascii="Times New Roman" w:hAnsi="Times New Roman"/>
          <w:b/>
          <w:i w:val="0"/>
          <w:sz w:val="20"/>
        </w:rPr>
        <w:t>no dependable confidence</w:t>
      </w:r>
      <w:r>
        <w:rPr>
          <w:rFonts w:ascii="Times New Roman" w:hAnsi="Times New Roman"/>
          <w:b w:val="0"/>
          <w:i w:val="0"/>
          <w:sz w:val="20"/>
        </w:rPr>
        <w:t xml:space="preserve"> exists for a rejection rule. Abstention must be </w:t>
      </w:r>
      <w:r>
        <w:rPr>
          <w:rFonts w:ascii="Times New Roman" w:hAnsi="Times New Roman"/>
          <w:b/>
          <w:i w:val="0"/>
          <w:sz w:val="20"/>
        </w:rPr>
        <w:t>operationalised</w:t>
      </w:r>
      <w:r>
        <w:rPr>
          <w:rFonts w:ascii="Times New Roman" w:hAnsi="Times New Roman"/>
          <w:b w:val="0"/>
          <w:i w:val="0"/>
          <w:sz w:val="20"/>
        </w:rPr>
        <w:t xml:space="preserve"> in the counting domain (§3.6, Proposition 1); our contribution is the operationalisation and the identities that make the results checkable.</w:t>
      </w:r>
    </w:p>
    <w:p>
      <w:r>
        <w:rPr>
          <w:rFonts w:ascii="Times New Roman" w:hAnsi="Times New Roman"/>
          <w:b/>
          <w:i w:val="0"/>
          <w:sz w:val="20"/>
        </w:rPr>
        <w:t>Four properties of abstention.</w:t>
      </w:r>
      <w:r>
        <w:rPr>
          <w:rFonts w:ascii="Times New Roman" w:hAnsi="Times New Roman"/>
          <w:b w:val="0"/>
          <w:i w:val="0"/>
          <w:sz w:val="20"/>
        </w:rPr>
        <w:t xml:space="preserve"> </w:t>
      </w:r>
      <w:r>
        <w:rPr>
          <w:rFonts w:ascii="Times New Roman" w:hAnsi="Times New Roman"/>
          <w:b/>
          <w:i w:val="0"/>
          <w:sz w:val="20"/>
        </w:rPr>
        <w:t>① Measurable, with a lineage-specific channel.</w:t>
      </w:r>
      <w:r>
        <w:rPr>
          <w:rFonts w:ascii="Times New Roman" w:hAnsi="Times New Roman"/>
          <w:b w:val="0"/>
          <w:i w:val="0"/>
          <w:sz w:val="20"/>
        </w:rPr>
        <w:t xml:space="preserve"> Rather than stipulate that </w:t>
      </w:r>
      <w:r>
        <w:rPr>
          <w:rFonts w:ascii="Times New Roman" w:hAnsi="Times New Roman"/>
          <w:b w:val="0"/>
          <w:i/>
          <w:sz w:val="20"/>
        </w:rPr>
        <w:t>pred = 0</w:t>
      </w:r>
      <w:r>
        <w:rPr>
          <w:rFonts w:ascii="Times New Roman" w:hAnsi="Times New Roman"/>
          <w:b w:val="0"/>
          <w:i w:val="0"/>
          <w:sz w:val="20"/>
        </w:rPr>
        <w:t xml:space="preserve"> means abstention, we give an </w:t>
      </w:r>
      <w:r>
        <w:rPr>
          <w:rFonts w:ascii="Times New Roman" w:hAnsi="Times New Roman"/>
          <w:b/>
          <w:i w:val="0"/>
          <w:sz w:val="20"/>
        </w:rPr>
        <w:t>empirical criterion</w:t>
      </w:r>
      <w:r>
        <w:rPr>
          <w:rFonts w:ascii="Times New Roman" w:hAnsi="Times New Roman"/>
          <w:b w:val="0"/>
          <w:i w:val="0"/>
          <w:sz w:val="20"/>
        </w:rPr>
        <w:t>: a lineage abstaining mainly in language would show an answered-zero-to-refusal ratio approaching 0.</w:t>
      </w:r>
    </w:p>
    <w:p>
      <w:r>
        <w:rPr>
          <w:rFonts w:ascii="Times New Roman" w:hAnsi="Times New Roman"/>
          <w:b/>
          <w:i w:val="0"/>
          <w:sz w:val="20"/>
        </w:rPr>
        <w:t>② Gated by per-instance legibility, and by target count</w:t>
      </w:r>
      <w:r>
        <w:rPr>
          <w:rFonts w:ascii="Times New Roman" w:hAnsi="Times New Roman"/>
          <w:b w:val="0"/>
          <w:i w:val="0"/>
          <w:sz w:val="20"/>
        </w:rPr>
        <w:t xml:space="preserve">, and </w:t>
      </w:r>
      <w:r>
        <w:rPr>
          <w:rFonts w:ascii="Times New Roman" w:hAnsi="Times New Roman"/>
          <w:b/>
          <w:i w:val="0"/>
          <w:sz w:val="20"/>
        </w:rPr>
        <w:t>decoupled from directional bias</w:t>
      </w:r>
      <w:r>
        <w:rPr>
          <w:rFonts w:ascii="Times New Roman" w:hAnsi="Times New Roman"/>
          <w:b w:val="0"/>
          <w:i w:val="0"/>
          <w:sz w:val="20"/>
        </w:rPr>
        <w:t>: on count-controlled grids arrangement and blur alone drive abstention to 90%, while on clean synthetic dots the same base arm neither abstains nor becomes directionally accurate (§5.6, §5.7).</w:t>
      </w:r>
    </w:p>
    <w:p>
      <w:r>
        <w:rPr>
          <w:rFonts w:ascii="Times New Roman" w:hAnsi="Times New Roman"/>
          <w:b/>
          <w:i w:val="0"/>
          <w:sz w:val="20"/>
        </w:rPr>
        <w:t>③ Switchable from both ends</w:t>
      </w:r>
      <w:r>
        <w:rPr>
          <w:rFonts w:ascii="Times New Roman" w:hAnsi="Times New Roman"/>
          <w:b w:val="0"/>
          <w:i w:val="0"/>
          <w:sz w:val="20"/>
        </w:rPr>
        <w:t>, being a behaviour: tiling (</w:t>
      </w:r>
      <w:r>
        <w:rPr>
          <w:rFonts w:ascii="Times New Roman" w:hAnsi="Times New Roman"/>
          <w:b/>
          <w:i w:val="0"/>
          <w:sz w:val="20"/>
        </w:rPr>
        <w:t>Fig. 1</w:t>
      </w:r>
      <w:r>
        <w:rPr>
          <w:rFonts w:ascii="Times New Roman" w:hAnsi="Times New Roman"/>
          <w:b w:val="0"/>
          <w:i w:val="0"/>
          <w:sz w:val="20"/>
        </w:rPr>
        <w:t xml:space="preserve">) drops the ShanghaiTech-A [5] abstention rate from </w:t>
      </w:r>
      <w:r>
        <w:rPr>
          <w:rFonts w:ascii="Times New Roman" w:hAnsi="Times New Roman"/>
          <w:b/>
          <w:i w:val="0"/>
          <w:sz w:val="20"/>
        </w:rPr>
        <w:t>56.6%</w:t>
      </w:r>
      <w:r>
        <w:rPr>
          <w:rFonts w:ascii="Times New Roman" w:hAnsi="Times New Roman"/>
          <w:b w:val="0"/>
          <w:i w:val="0"/>
          <w:sz w:val="20"/>
        </w:rPr>
        <w:t xml:space="preserve"> to </w:t>
      </w:r>
      <w:r>
        <w:rPr>
          <w:rFonts w:ascii="Times New Roman" w:hAnsi="Times New Roman"/>
          <w:b/>
          <w:i w:val="0"/>
          <w:sz w:val="20"/>
        </w:rPr>
        <w:t>0.0%</w:t>
      </w:r>
      <w:r>
        <w:rPr>
          <w:rFonts w:ascii="Times New Roman" w:hAnsi="Times New Roman"/>
          <w:b w:val="0"/>
          <w:i w:val="0"/>
          <w:sz w:val="20"/>
        </w:rPr>
        <w:t xml:space="preserve"> (2×2: 6.0%, 3×3: 0.55%) without harming direction.</w:t>
      </w:r>
    </w:p>
    <w:p>
      <w:pPr>
        <w:spacing w:line="240" w:lineRule="auto"/>
        <w:jc w:val="center"/>
      </w:pPr>
      <w:r>
        <w:drawing>
          <wp:inline xmlns:a="http://schemas.openxmlformats.org/drawingml/2006/main" xmlns:pic="http://schemas.openxmlformats.org/drawingml/2006/picture">
            <wp:extent cx="2736000" cy="1872000"/>
            <wp:docPr id="1" name="Picture 1"/>
            <wp:cNvGraphicFramePr>
              <a:graphicFrameLocks noChangeAspect="1"/>
            </wp:cNvGraphicFramePr>
            <a:graphic>
              <a:graphicData uri="http://schemas.openxmlformats.org/drawingml/2006/picture">
                <pic:pic>
                  <pic:nvPicPr>
                    <pic:cNvPr id="0" name="F6b_abstention_vs_tile.png"/>
                    <pic:cNvPicPr/>
                  </pic:nvPicPr>
                  <pic:blipFill>
                    <a:blip r:embed="rId10"/>
                    <a:stretch>
                      <a:fillRect/>
                    </a:stretch>
                  </pic:blipFill>
                  <pic:spPr>
                    <a:xfrm>
                      <a:off x="0" y="0"/>
                      <a:ext cx="2736000" cy="1872000"/>
                    </a:xfrm>
                    <a:prstGeom prst="rect"/>
                  </pic:spPr>
                </pic:pic>
              </a:graphicData>
            </a:graphic>
          </wp:inline>
        </w:drawing>
      </w:r>
    </w:p>
    <w:p>
      <w:r>
        <w:rPr>
          <w:rFonts w:ascii="Times New Roman" w:hAnsi="Times New Roman"/>
          <w:b/>
          <w:i w:val="0"/>
          <w:sz w:val="16"/>
        </w:rPr>
        <w:t>Fig. 1.</w:t>
      </w:r>
      <w:r>
        <w:rPr>
          <w:rFonts w:ascii="Times New Roman" w:hAnsi="Times New Roman"/>
          <w:b w:val="0"/>
          <w:i w:val="0"/>
          <w:sz w:val="16"/>
        </w:rPr>
        <w:t xml:space="preserve"> Tiling removes the ShanghaiTech-A abstention without harming direction.</w:t>
      </w:r>
    </w:p>
    <w:p>
      <w:r>
        <w:rPr>
          <w:rFonts w:ascii="Times New Roman" w:hAnsi="Times New Roman"/>
          <w:b/>
          <w:i w:val="0"/>
          <w:sz w:val="20"/>
        </w:rPr>
        <w:t>④ Removing abstention costs direction among the tested interventions.</w:t>
      </w:r>
      <w:r>
        <w:rPr>
          <w:rFonts w:ascii="Times New Roman" w:hAnsi="Times New Roman"/>
          <w:b w:val="0"/>
          <w:i w:val="0"/>
          <w:sz w:val="20"/>
        </w:rPr>
        <w:t xml:space="preserve"> Prompt relaxation (</w:t>
      </w:r>
      <w:r>
        <w:rPr>
          <w:rFonts w:ascii="Times New Roman" w:hAnsi="Times New Roman"/>
          <w:b/>
          <w:i w:val="0"/>
          <w:sz w:val="20"/>
        </w:rPr>
        <w:t>Fig. 2</w:t>
      </w:r>
      <w:r>
        <w:rPr>
          <w:rFonts w:ascii="Times New Roman" w:hAnsi="Times New Roman"/>
          <w:b w:val="0"/>
          <w:i w:val="0"/>
          <w:sz w:val="20"/>
        </w:rPr>
        <w:t xml:space="preserve">) also drives abstention to zero but flips ρ from </w:t>
      </w:r>
      <w:r>
        <w:rPr>
          <w:rFonts w:ascii="Times New Roman" w:hAnsi="Times New Roman"/>
          <w:b/>
          <w:i w:val="0"/>
          <w:sz w:val="20"/>
        </w:rPr>
        <w:t>−82%</w:t>
      </w:r>
      <w:r>
        <w:rPr>
          <w:rFonts w:ascii="Times New Roman" w:hAnsi="Times New Roman"/>
          <w:b w:val="0"/>
          <w:i w:val="0"/>
          <w:sz w:val="20"/>
        </w:rPr>
        <w:t xml:space="preserve"> to </w:t>
      </w:r>
      <w:r>
        <w:rPr>
          <w:rFonts w:ascii="Times New Roman" w:hAnsi="Times New Roman"/>
          <w:b/>
          <w:i w:val="0"/>
          <w:sz w:val="20"/>
        </w:rPr>
        <w:t>+234%…+345%</w:t>
      </w:r>
      <w:r>
        <w:rPr>
          <w:rFonts w:ascii="Times New Roman" w:hAnsi="Times New Roman"/>
          <w:b w:val="0"/>
          <w:i w:val="0"/>
          <w:sz w:val="20"/>
        </w:rPr>
        <w:t xml:space="preserve">; </w:t>
      </w:r>
      <w:r>
        <w:rPr>
          <w:rFonts w:ascii="Times New Roman" w:hAnsi="Times New Roman"/>
          <w:b/>
          <w:i w:val="0"/>
          <w:sz w:val="20"/>
        </w:rPr>
        <w:t>tiling is the only one that improves both.</w:t>
      </w:r>
      <w:r>
        <w:rPr>
          <w:rFonts w:ascii="Times New Roman" w:hAnsi="Times New Roman"/>
          <w:b w:val="0"/>
          <w:i w:val="0"/>
          <w:sz w:val="20"/>
        </w:rPr>
        <w:t xml:space="preserve"> </w:t>
      </w:r>
      <w:r>
        <w:rPr>
          <w:rFonts w:ascii="Times New Roman" w:hAnsi="Times New Roman"/>
          <w:b w:val="0"/>
          <w:i/>
          <w:sz w:val="20"/>
        </w:rPr>
        <w:t>(Per-property numbers: Appendix L.)</w:t>
      </w:r>
    </w:p>
    <w:p>
      <w:pPr>
        <w:spacing w:line="240" w:lineRule="auto"/>
        <w:jc w:val="center"/>
      </w:pPr>
      <w:r>
        <w:drawing>
          <wp:inline xmlns:a="http://schemas.openxmlformats.org/drawingml/2006/main" xmlns:pic="http://schemas.openxmlformats.org/drawingml/2006/picture">
            <wp:extent cx="2736000" cy="1787520"/>
            <wp:docPr id="2" name="Picture 2"/>
            <wp:cNvGraphicFramePr>
              <a:graphicFrameLocks noChangeAspect="1"/>
            </wp:cNvGraphicFramePr>
            <a:graphic>
              <a:graphicData uri="http://schemas.openxmlformats.org/drawingml/2006/picture">
                <pic:pic>
                  <pic:nvPicPr>
                    <pic:cNvPr id="0" name="F12_prompt_dose.png"/>
                    <pic:cNvPicPr/>
                  </pic:nvPicPr>
                  <pic:blipFill>
                    <a:blip r:embed="rId11"/>
                    <a:stretch>
                      <a:fillRect/>
                    </a:stretch>
                  </pic:blipFill>
                  <pic:spPr>
                    <a:xfrm>
                      <a:off x="0" y="0"/>
                      <a:ext cx="2736000" cy="1787520"/>
                    </a:xfrm>
                    <a:prstGeom prst="rect"/>
                  </pic:spPr>
                </pic:pic>
              </a:graphicData>
            </a:graphic>
          </wp:inline>
        </w:drawing>
      </w:r>
    </w:p>
    <w:p>
      <w:r>
        <w:rPr>
          <w:rFonts w:ascii="Times New Roman" w:hAnsi="Times New Roman"/>
          <w:b/>
          <w:i w:val="0"/>
          <w:sz w:val="16"/>
        </w:rPr>
        <w:t>Fig. 2.</w:t>
      </w:r>
      <w:r>
        <w:rPr>
          <w:rFonts w:ascii="Times New Roman" w:hAnsi="Times New Roman"/>
          <w:b w:val="0"/>
          <w:i w:val="0"/>
          <w:sz w:val="16"/>
        </w:rPr>
        <w:t xml:space="preserve"> The prompt-strength dose–response: relaxation also drives abstention to zero, but flips ρ from −82% to +234%…+345%.</w:t>
      </w:r>
    </w:p>
    <w:p>
      <w:r>
        <w:rPr>
          <w:rFonts w:ascii="Times New Roman" w:hAnsi="Times New Roman"/>
          <w:b/>
          <w:i w:val="0"/>
          <w:sz w:val="20"/>
        </w:rPr>
        <w:t>Supporting result: the response spectrum of direction.</w:t>
      </w:r>
      <w:r>
        <w:rPr>
          <w:rFonts w:ascii="Times New Roman" w:hAnsi="Times New Roman"/>
          <w:b w:val="0"/>
          <w:i w:val="0"/>
          <w:sz w:val="20"/>
        </w:rPr>
        <w:t xml:space="preserve"> The signed direction can be moved continuously, but its </w:t>
      </w:r>
      <w:r>
        <w:rPr>
          <w:rFonts w:ascii="Times New Roman" w:hAnsi="Times New Roman"/>
          <w:b/>
          <w:i w:val="0"/>
          <w:sz w:val="20"/>
        </w:rPr>
        <w:t>achievable span is an empirical property of implementation × training domain × data domain × protocol, not of a paradigm</w:t>
      </w:r>
      <w:r>
        <w:rPr>
          <w:rFonts w:ascii="Times New Roman" w:hAnsi="Times New Roman"/>
          <w:b w:val="0"/>
          <w:i w:val="0"/>
          <w:sz w:val="20"/>
        </w:rPr>
        <w:t xml:space="preserve">. What is established is the </w:t>
      </w:r>
      <w:r>
        <w:rPr>
          <w:rFonts w:ascii="Times New Roman" w:hAnsi="Times New Roman"/>
          <w:b/>
          <w:i w:val="0"/>
          <w:sz w:val="20"/>
        </w:rPr>
        <w:t>ordering</w:t>
      </w:r>
      <w:r>
        <w:rPr>
          <w:rFonts w:ascii="Times New Roman" w:hAnsi="Times New Roman"/>
          <w:b w:val="0"/>
          <w:i w:val="0"/>
          <w:sz w:val="20"/>
        </w:rPr>
        <w:t xml:space="preserve">, preserved at </w:t>
      </w:r>
      <w:r>
        <w:rPr>
          <w:rFonts w:ascii="Times New Roman" w:hAnsi="Times New Roman"/>
          <w:b/>
          <w:i w:val="0"/>
          <w:sz w:val="20"/>
        </w:rPr>
        <w:t>Spearman 0.981–0.999</w:t>
      </w:r>
      <w:r>
        <w:rPr>
          <w:rFonts w:ascii="Times New Roman" w:hAnsi="Times New Roman"/>
          <w:b w:val="0"/>
          <w:i w:val="0"/>
          <w:sz w:val="20"/>
        </w:rPr>
        <w:t xml:space="preserve"> when every ladder is re-estimated on a common level count with its extreme level removed (Appendix F.10): the </w:t>
      </w:r>
      <w:r>
        <w:rPr>
          <w:rFonts w:ascii="Times New Roman" w:hAnsi="Times New Roman"/>
          <w:b/>
          <w:i w:val="0"/>
          <w:sz w:val="20"/>
        </w:rPr>
        <w:t>ordering</w:t>
      </w:r>
      <w:r>
        <w:rPr>
          <w:rFonts w:ascii="Times New Roman" w:hAnsi="Times New Roman"/>
          <w:b w:val="0"/>
          <w:i w:val="0"/>
          <w:sz w:val="20"/>
        </w:rPr>
        <w:t xml:space="preserve"> is not a function of the scanning grid, the </w:t>
      </w:r>
      <w:r>
        <w:rPr>
          <w:rFonts w:ascii="Times New Roman" w:hAnsi="Times New Roman"/>
          <w:b/>
          <w:i w:val="0"/>
          <w:sz w:val="20"/>
        </w:rPr>
        <w:t>magnitudes</w:t>
      </w:r>
      <w:r>
        <w:rPr>
          <w:rFonts w:ascii="Times New Roman" w:hAnsi="Times New Roman"/>
          <w:b w:val="0"/>
          <w:i w:val="0"/>
          <w:sz w:val="20"/>
        </w:rPr>
        <w:t xml:space="preserve"> are. What remains open is the partition: the observed separating split is </w:t>
      </w:r>
      <w:r>
        <w:rPr>
          <w:rFonts w:ascii="Times New Roman" w:hAnsi="Times New Roman"/>
          <w:b/>
          <w:i w:val="0"/>
          <w:sz w:val="20"/>
        </w:rPr>
        <w:t>1.6 pp</w:t>
      </w:r>
      <w:r>
        <w:rPr>
          <w:rFonts w:ascii="Times New Roman" w:hAnsi="Times New Roman"/>
          <w:b w:val="0"/>
          <w:i w:val="0"/>
          <w:sz w:val="20"/>
        </w:rPr>
        <w:t>, below our own noise floor (Appendices F.3, M.37, M.17).</w:t>
      </w:r>
    </w:p>
    <w:p>
      <w:r>
        <w:rPr>
          <w:rFonts w:ascii="Times New Roman" w:hAnsi="Times New Roman"/>
          <w:b/>
          <w:i w:val="0"/>
          <w:sz w:val="20"/>
        </w:rPr>
        <w:t>Contributions.</w:t>
      </w:r>
      <w:r>
        <w:rPr>
          <w:rFonts w:ascii="Times New Roman" w:hAnsi="Times New Roman"/>
          <w:b w:val="0"/>
          <w:i w:val="0"/>
          <w:sz w:val="20"/>
        </w:rPr>
        <w:t xml:space="preserve"> Two empirical findings, plus the apparatus that makes them checkable: the identities of §3.8 and the appendices, which are arithmetic, not findings, and whose role is that every headline number is recomputed from the released records or labelled a transcription or author-side computation (Appendix F.9). 1. </w:t>
      </w:r>
      <w:r>
        <w:rPr>
          <w:rFonts w:ascii="Times New Roman" w:hAnsi="Times New Roman"/>
          <w:b/>
          <w:i w:val="0"/>
          <w:sz w:val="20"/>
        </w:rPr>
        <w:t>Finding 1 — on dense scenes answered-zero outputs carry most of the aggregate under-count, and contract and outlet availability are leading; naming the zero is an independent factor.</w:t>
      </w:r>
      <w:r>
        <w:rPr>
          <w:rFonts w:ascii="Times New Roman" w:hAnsi="Times New Roman"/>
          <w:b w:val="0"/>
          <w:i w:val="0"/>
          <w:sz w:val="20"/>
        </w:rPr>
        <w:t xml:space="preserve"> Within the cells studied, literal-zero outputs dominate the pooled under-count (§5.5); for InternVL2.5-8B [6] the answered-zero channel covers 69.69% of abstentions (§3.6, Proposition 7); and </w:t>
      </w:r>
      <w:r>
        <w:rPr>
          <w:rFonts w:ascii="Times New Roman" w:hAnsi="Times New Roman"/>
          <w:b/>
          <w:i w:val="0"/>
          <w:sz w:val="20"/>
        </w:rPr>
        <w:t>the outlet</w:t>
      </w:r>
      <w:r>
        <w:rPr>
          <w:rFonts w:ascii="Times New Roman" w:hAnsi="Times New Roman"/>
          <w:b w:val="0"/>
          <w:i w:val="0"/>
          <w:sz w:val="20"/>
        </w:rPr>
        <w:t xml:space="preserve"> is a property of the serving configuration, not the lineage (the </w:t>
      </w:r>
      <w:r>
        <w:rPr>
          <w:rFonts w:ascii="Times New Roman" w:hAnsi="Times New Roman"/>
          <w:b/>
          <w:i w:val="0"/>
          <w:sz w:val="20"/>
        </w:rPr>
        <w:t>rate</w:t>
      </w:r>
      <w:r>
        <w:rPr>
          <w:rFonts w:ascii="Times New Roman" w:hAnsi="Times New Roman"/>
          <w:b w:val="0"/>
          <w:i w:val="0"/>
          <w:sz w:val="20"/>
        </w:rPr>
        <w:t xml:space="preserve"> is not; Appendix M.47) — given an abstention token </w:t>
      </w:r>
      <w:r>
        <w:rPr>
          <w:rFonts w:ascii="Times New Roman" w:hAnsi="Times New Roman"/>
          <w:b/>
          <w:i w:val="0"/>
          <w:sz w:val="20"/>
        </w:rPr>
        <w:t>1591/1591</w:t>
      </w:r>
      <w:r>
        <w:rPr>
          <w:rFonts w:ascii="Times New Roman" w:hAnsi="Times New Roman"/>
          <w:b w:val="0"/>
          <w:i w:val="0"/>
          <w:sz w:val="20"/>
        </w:rPr>
        <w:t xml:space="preserve"> calls abstain, and in a census fixing the stack and varying only the contract, item-level pairing removes the answered zero in </w:t>
      </w:r>
      <w:r>
        <w:rPr>
          <w:rFonts w:ascii="Times New Roman" w:hAnsi="Times New Roman"/>
          <w:b/>
          <w:i w:val="0"/>
          <w:sz w:val="20"/>
        </w:rPr>
        <w:t>46 of 52</w:t>
      </w:r>
      <w:r>
        <w:rPr>
          <w:rFonts w:ascii="Times New Roman" w:hAnsi="Times New Roman"/>
          <w:b w:val="0"/>
          <w:i w:val="0"/>
          <w:sz w:val="20"/>
        </w:rPr>
        <w:t xml:space="preserve"> (model × domain) cells (</w:t>
      </w:r>
      <w:r>
        <w:rPr>
          <w:rFonts w:ascii="Times New Roman" w:hAnsi="Times New Roman"/>
          <w:b/>
          <w:i w:val="0"/>
          <w:sz w:val="20"/>
        </w:rPr>
        <w:t>52 of 52</w:t>
      </w:r>
      <w:r>
        <w:rPr>
          <w:rFonts w:ascii="Times New Roman" w:hAnsi="Times New Roman"/>
          <w:b w:val="0"/>
          <w:i w:val="0"/>
          <w:sz w:val="20"/>
        </w:rPr>
        <w:t xml:space="preserve"> under the three-option contract; M.18.2–M.18.3), while the same grid on </w:t>
      </w:r>
      <w:r>
        <w:rPr>
          <w:rFonts w:ascii="Times New Roman" w:hAnsi="Times New Roman"/>
          <w:b/>
          <w:i w:val="0"/>
          <w:sz w:val="20"/>
        </w:rPr>
        <w:t>seven families — four beyond the corpus, all unquantised — removes it in five of seven</w:t>
      </w:r>
      <w:r>
        <w:rPr>
          <w:rFonts w:ascii="Times New Roman" w:hAnsi="Times New Roman"/>
          <w:b w:val="0"/>
          <w:i w:val="0"/>
          <w:sz w:val="20"/>
        </w:rPr>
        <w:t xml:space="preserve">, the other two retaining </w:t>
      </w:r>
      <w:r>
        <w:rPr>
          <w:rFonts w:ascii="Times New Roman" w:hAnsi="Times New Roman"/>
          <w:b/>
          <w:i w:val="0"/>
          <w:sz w:val="20"/>
        </w:rPr>
        <w:t>0.1–2.1%</w:t>
      </w:r>
      <w:r>
        <w:rPr>
          <w:rFonts w:ascii="Times New Roman" w:hAnsi="Times New Roman"/>
          <w:b w:val="0"/>
          <w:i w:val="0"/>
          <w:sz w:val="20"/>
        </w:rPr>
        <w:t xml:space="preserve"> (§5.7, M.19), two of the seven having offered only </w:t>
      </w:r>
      <w:r>
        <w:rPr>
          <w:rFonts w:ascii="Times New Roman" w:hAnsi="Times New Roman"/>
          <w:b/>
          <w:i w:val="0"/>
          <w:sz w:val="20"/>
        </w:rPr>
        <w:t>9</w:t>
      </w:r>
      <w:r>
        <w:rPr>
          <w:rFonts w:ascii="Times New Roman" w:hAnsi="Times New Roman"/>
          <w:b w:val="0"/>
          <w:i w:val="0"/>
          <w:sz w:val="20"/>
        </w:rPr>
        <w:t xml:space="preserve"> and </w:t>
      </w:r>
      <w:r>
        <w:rPr>
          <w:rFonts w:ascii="Times New Roman" w:hAnsi="Times New Roman"/>
          <w:b/>
          <w:i w:val="0"/>
          <w:sz w:val="20"/>
        </w:rPr>
        <w:t>156 zeros</w:t>
      </w:r>
      <w:r>
        <w:rPr>
          <w:rFonts w:ascii="Times New Roman" w:hAnsi="Times New Roman"/>
          <w:b w:val="0"/>
          <w:i w:val="0"/>
          <w:sz w:val="20"/>
        </w:rPr>
        <w:t xml:space="preserve"> to remove (</w:t>
      </w:r>
      <w:r>
        <w:rPr>
          <w:rFonts w:ascii="Times New Roman" w:hAnsi="Times New Roman"/>
          <w:b/>
          <w:i w:val="0"/>
          <w:sz w:val="20"/>
        </w:rPr>
        <w:t>2</w:t>
      </w:r>
      <w:r>
        <w:rPr>
          <w:rFonts w:ascii="Times New Roman" w:hAnsi="Times New Roman"/>
          <w:b w:val="0"/>
          <w:i w:val="0"/>
          <w:sz w:val="20"/>
        </w:rPr>
        <w:t xml:space="preserve"> of the latter from the dense domains). The </w:t>
      </w:r>
      <w:r>
        <w:rPr>
          <w:rFonts w:ascii="Times New Roman" w:hAnsi="Times New Roman"/>
          <w:b/>
          <w:i w:val="0"/>
          <w:sz w:val="20"/>
        </w:rPr>
        <w:t>frequency</w:t>
      </w:r>
      <w:r>
        <w:rPr>
          <w:rFonts w:ascii="Times New Roman" w:hAnsi="Times New Roman"/>
          <w:b w:val="0"/>
          <w:i w:val="0"/>
          <w:sz w:val="20"/>
        </w:rPr>
        <w:t xml:space="preserve"> claim stays bounded by lineage, build and domain (§8.2, Appendices M.18–M.19).</w:t>
      </w:r>
    </w:p>
    <w:p>
      <w:r>
        <w:rPr>
          <w:rFonts w:ascii="Times New Roman" w:hAnsi="Times New Roman"/>
          <w:b w:val="0"/>
          <w:i w:val="0"/>
          <w:sz w:val="20"/>
        </w:rPr>
        <w:t xml:space="preserve">2. </w:t>
      </w:r>
      <w:r>
        <w:rPr>
          <w:rFonts w:ascii="Times New Roman" w:hAnsi="Times New Roman"/>
          <w:b/>
          <w:i w:val="0"/>
          <w:sz w:val="20"/>
        </w:rPr>
        <w:t>Finding 2 — per-instance legibility gates whether a model answers, and it is a diagnostic, not a repair.</w:t>
      </w:r>
      <w:r>
        <w:rPr>
          <w:rFonts w:ascii="Times New Roman" w:hAnsi="Times New Roman"/>
          <w:b w:val="0"/>
          <w:i w:val="0"/>
          <w:sz w:val="20"/>
        </w:rPr>
        <w:t xml:space="preserve"> We give the proxy, the effect structure under three controlled manipulations, and what it </w:t>
      </w:r>
      <w:r>
        <w:rPr>
          <w:rFonts w:ascii="Times New Roman" w:hAnsi="Times New Roman"/>
          <w:b/>
          <w:i w:val="0"/>
          <w:sz w:val="20"/>
        </w:rPr>
        <w:t>cannot</w:t>
      </w:r>
      <w:r>
        <w:rPr>
          <w:rFonts w:ascii="Times New Roman" w:hAnsi="Times New Roman"/>
          <w:b w:val="0"/>
          <w:i w:val="0"/>
          <w:sz w:val="20"/>
        </w:rPr>
        <w:t xml:space="preserve"> do: it supports selective prediction (the most legible 20% of images reduce MAE by </w:t>
      </w:r>
      <w:r>
        <w:rPr>
          <w:rFonts w:ascii="Times New Roman" w:hAnsi="Times New Roman"/>
          <w:b/>
          <w:i w:val="0"/>
          <w:sz w:val="20"/>
        </w:rPr>
        <w:t>31–66%</w:t>
      </w:r>
      <w:r>
        <w:rPr>
          <w:rFonts w:ascii="Times New Roman" w:hAnsi="Times New Roman"/>
          <w:b w:val="0"/>
          <w:i w:val="0"/>
          <w:sz w:val="20"/>
        </w:rPr>
        <w:t xml:space="preserve">, selector AUC </w:t>
      </w:r>
      <w:r>
        <w:rPr>
          <w:rFonts w:ascii="Times New Roman" w:hAnsi="Times New Roman"/>
          <w:b/>
          <w:i w:val="0"/>
          <w:sz w:val="20"/>
        </w:rPr>
        <w:t>0.753–0.786</w:t>
      </w:r>
      <w:r>
        <w:rPr>
          <w:rFonts w:ascii="Times New Roman" w:hAnsi="Times New Roman"/>
          <w:b w:val="0"/>
          <w:i w:val="0"/>
          <w:sz w:val="20"/>
        </w:rPr>
        <w:t xml:space="preserve">) but </w:t>
      </w:r>
      <w:r>
        <w:rPr>
          <w:rFonts w:ascii="Times New Roman" w:hAnsi="Times New Roman"/>
          <w:b/>
          <w:i w:val="0"/>
          <w:sz w:val="20"/>
        </w:rPr>
        <w:t>cannot repair direction</w:t>
      </w:r>
      <w:r>
        <w:rPr>
          <w:rFonts w:ascii="Times New Roman" w:hAnsi="Times New Roman"/>
          <w:b w:val="0"/>
          <w:i w:val="0"/>
          <w:sz w:val="20"/>
        </w:rPr>
        <w:t xml:space="preserve"> (ρ attenuating only from </w:t>
      </w:r>
      <w:r>
        <w:rPr>
          <w:rFonts w:ascii="Times New Roman" w:hAnsi="Times New Roman"/>
          <w:b/>
          <w:i w:val="0"/>
          <w:sz w:val="20"/>
        </w:rPr>
        <w:t>−85.0%</w:t>
      </w:r>
      <w:r>
        <w:rPr>
          <w:rFonts w:ascii="Times New Roman" w:hAnsi="Times New Roman"/>
          <w:b w:val="0"/>
          <w:i w:val="0"/>
          <w:sz w:val="20"/>
        </w:rPr>
        <w:t xml:space="preserve"> to </w:t>
      </w:r>
      <w:r>
        <w:rPr>
          <w:rFonts w:ascii="Times New Roman" w:hAnsi="Times New Roman"/>
          <w:b/>
          <w:i w:val="0"/>
          <w:sz w:val="20"/>
        </w:rPr>
        <w:t>−53.4%</w:t>
      </w:r>
      <w:r>
        <w:rPr>
          <w:rFonts w:ascii="Times New Roman" w:hAnsi="Times New Roman"/>
          <w:b w:val="0"/>
          <w:i w:val="0"/>
          <w:sz w:val="20"/>
        </w:rPr>
        <w:t xml:space="preserve">), and because it requires instance-level boxes it is a </w:t>
      </w:r>
      <w:r>
        <w:rPr>
          <w:rFonts w:ascii="Times New Roman" w:hAnsi="Times New Roman"/>
          <w:b/>
          <w:i w:val="0"/>
          <w:sz w:val="20"/>
        </w:rPr>
        <w:t>diagnostic, not a deployment-time criterion</w:t>
      </w:r>
      <w:r>
        <w:rPr>
          <w:rFonts w:ascii="Times New Roman" w:hAnsi="Times New Roman"/>
          <w:b w:val="0"/>
          <w:i w:val="0"/>
          <w:sz w:val="20"/>
        </w:rPr>
        <w:t xml:space="preserve"> (§3.3, §7.1).</w:t>
      </w:r>
    </w:p>
    <w:p>
      <w:r>
        <w:rPr>
          <w:rFonts w:ascii="Times New Roman" w:hAnsi="Times New Roman"/>
          <w:b w:val="0"/>
          <w:i w:val="0"/>
          <w:sz w:val="20"/>
        </w:rPr>
        <w:t xml:space="preserve">3. </w:t>
      </w:r>
      <w:r>
        <w:rPr>
          <w:rFonts w:ascii="Times New Roman" w:hAnsi="Times New Roman"/>
          <w:b/>
          <w:i w:val="0"/>
          <w:sz w:val="20"/>
        </w:rPr>
        <w:t>The apparatus: a re-checkable measurement discipline.</w:t>
      </w:r>
      <w:r>
        <w:rPr>
          <w:rFonts w:ascii="Times New Roman" w:hAnsi="Times New Roman"/>
          <w:b w:val="0"/>
          <w:i w:val="0"/>
          <w:sz w:val="20"/>
        </w:rPr>
        <w:t xml:space="preserve"> The dual convention and its divergence condition (Proposition 2), the anomaly-exclusion rule, span variants against the noise floor (</w:t>
      </w:r>
      <w:r>
        <w:rPr>
          <w:rFonts w:ascii="Times New Roman" w:hAnsi="Times New Roman"/>
          <w:b/>
          <w:i w:val="0"/>
          <w:sz w:val="20"/>
        </w:rPr>
        <w:t>2.15–6.46 pp</w:t>
      </w:r>
      <w:r>
        <w:rPr>
          <w:rFonts w:ascii="Times New Roman" w:hAnsi="Times New Roman"/>
          <w:b w:val="0"/>
          <w:i w:val="0"/>
          <w:sz w:val="20"/>
        </w:rPr>
        <w:t xml:space="preserve">), and every split point enumerated, not searched (Appendix F.3). It yields one positive rule where a magnitude law is absent: the span </w:t>
      </w:r>
      <w:r>
        <w:rPr>
          <w:rFonts w:ascii="Times New Roman" w:hAnsi="Times New Roman"/>
          <w:b/>
          <w:i w:val="0"/>
          <w:sz w:val="20"/>
        </w:rPr>
        <w:t>ordering</w:t>
      </w:r>
      <w:r>
        <w:rPr>
          <w:rFonts w:ascii="Times New Roman" w:hAnsi="Times New Roman"/>
          <w:b w:val="0"/>
          <w:i w:val="0"/>
          <w:sz w:val="20"/>
        </w:rPr>
        <w:t xml:space="preserve"> is robust when a magnitude is quoted with the grid density and the caliber that produced it (Propositions 3, 5; §7.3).</w:t>
      </w:r>
    </w:p>
    <w:p>
      <w:r>
        <w:rPr>
          <w:rFonts w:ascii="Times New Roman" w:hAnsi="Times New Roman"/>
          <w:b/>
          <w:i w:val="0"/>
          <w:sz w:val="20"/>
        </w:rPr>
        <w:t>Where each result binds.</w:t>
      </w:r>
      <w:r>
        <w:rPr>
          <w:rFonts w:ascii="Times New Roman" w:hAnsi="Times New Roman"/>
          <w:b w:val="0"/>
          <w:i w:val="0"/>
          <w:sz w:val="20"/>
        </w:rPr>
        <w:t xml:space="preserve"> The abstention results are measured on </w:t>
      </w:r>
      <w:r>
        <w:rPr>
          <w:rFonts w:ascii="Times New Roman" w:hAnsi="Times New Roman"/>
          <w:b/>
          <w:i w:val="0"/>
          <w:sz w:val="20"/>
        </w:rPr>
        <w:t>seven families across four corpus domains plus a nine-configuration panel on FSC-147 [7]</w:t>
      </w:r>
      <w:r>
        <w:rPr>
          <w:rFonts w:ascii="Times New Roman" w:hAnsi="Times New Roman"/>
          <w:b w:val="0"/>
          <w:i w:val="0"/>
          <w:sz w:val="20"/>
        </w:rPr>
        <w:t xml:space="preserve">, and tested prospectively on an </w:t>
      </w:r>
      <w:r>
        <w:rPr>
          <w:rFonts w:ascii="Times New Roman" w:hAnsi="Times New Roman"/>
          <w:b/>
          <w:i w:val="0"/>
          <w:sz w:val="20"/>
        </w:rPr>
        <w:t>independently sampled panel of six further families in six lineages with no Qwen model</w:t>
      </w:r>
      <w:r>
        <w:rPr>
          <w:rFonts w:ascii="Times New Roman" w:hAnsi="Times New Roman"/>
          <w:b w:val="0"/>
          <w:i w:val="0"/>
          <w:sz w:val="20"/>
        </w:rPr>
        <w:t xml:space="preserve"> (§5.14); the direction results span </w:t>
      </w:r>
      <w:r>
        <w:rPr>
          <w:rFonts w:ascii="Times New Roman" w:hAnsi="Times New Roman"/>
          <w:b/>
          <w:i w:val="0"/>
          <w:sz w:val="20"/>
        </w:rPr>
        <w:t>three implementation families</w:t>
      </w:r>
      <w:r>
        <w:rPr>
          <w:rFonts w:ascii="Times New Roman" w:hAnsi="Times New Roman"/>
          <w:b w:val="0"/>
          <w:i w:val="0"/>
          <w:sz w:val="20"/>
        </w:rPr>
        <w:t>.</w:t>
      </w:r>
    </w:p>
    <w:p>
      <w:pPr>
        <w:pStyle w:val="Heading2"/>
      </w:pPr>
      <w:r>
        <w:rPr>
          <w:rFonts w:ascii="Times New Roman" w:hAnsi="Times New Roman"/>
          <w:b/>
          <w:i w:val="0"/>
          <w:sz w:val="24"/>
        </w:rPr>
        <w:t>2. Related Work</w:t>
      </w:r>
    </w:p>
    <w:p>
      <w:pPr>
        <w:pStyle w:val="Heading3"/>
      </w:pPr>
      <w:r>
        <w:rPr>
          <w:rFonts w:ascii="Times New Roman" w:hAnsi="Times New Roman"/>
          <w:b/>
          <w:i w:val="0"/>
          <w:sz w:val="20"/>
        </w:rPr>
        <w:t>2.1 Detection-based counting versus density regression</w:t>
      </w:r>
    </w:p>
    <w:p>
      <w:r>
        <w:rPr>
          <w:rFonts w:ascii="Times New Roman" w:hAnsi="Times New Roman"/>
          <w:b w:val="0"/>
          <w:i w:val="0"/>
          <w:sz w:val="20"/>
        </w:rPr>
        <w:t>Two families dominate counting: detection-based methods localise instances and count them, while density regression predicts a density map whose integral is the count — the definitional formulation of the field [8]; comparative work treats them as paradigms whose trade-offs are read on magnitude error.</w:t>
      </w:r>
    </w:p>
    <w:p>
      <w:pPr>
        <w:pStyle w:val="Heading3"/>
      </w:pPr>
      <w:r>
        <w:rPr>
          <w:rFonts w:ascii="Times New Roman" w:hAnsi="Times New Roman"/>
          <w:b/>
          <w:i w:val="0"/>
          <w:sz w:val="20"/>
        </w:rPr>
        <w:t>2.2 Thresholds, operating points and cost-sensitive decisions</w:t>
      </w:r>
    </w:p>
    <w:p>
      <w:r>
        <w:rPr>
          <w:rFonts w:ascii="Times New Roman" w:hAnsi="Times New Roman"/>
          <w:b w:val="0"/>
          <w:i w:val="0"/>
          <w:sz w:val="20"/>
        </w:rPr>
        <w:t xml:space="preserve">The detection literature has long studied the operating point, and cost-sensitive decision theory formalises asymmetric losses. That apparatus supplies no measured answer for counting, which is this section's job: the </w:t>
      </w:r>
      <w:r>
        <w:rPr>
          <w:rFonts w:ascii="Times New Roman" w:hAnsi="Times New Roman"/>
          <w:b/>
          <w:i w:val="0"/>
          <w:sz w:val="20"/>
        </w:rPr>
        <w:t>counting error direction as a function of the operating point</w:t>
      </w:r>
      <w:r>
        <w:rPr>
          <w:rFonts w:ascii="Times New Roman" w:hAnsi="Times New Roman"/>
          <w:b w:val="0"/>
          <w:i w:val="0"/>
          <w:sz w:val="20"/>
        </w:rPr>
        <w:t xml:space="preserve">, NMS IoU being a second such knob, and "crossing zero" shown to be </w:t>
      </w:r>
      <w:r>
        <w:rPr>
          <w:rFonts w:ascii="Times New Roman" w:hAnsi="Times New Roman"/>
          <w:b/>
          <w:i w:val="0"/>
          <w:sz w:val="20"/>
        </w:rPr>
        <w:t>not a single event</w:t>
      </w:r>
      <w:r>
        <w:rPr>
          <w:rFonts w:ascii="Times New Roman" w:hAnsi="Times New Roman"/>
          <w:b w:val="0"/>
          <w:i w:val="0"/>
          <w:sz w:val="20"/>
        </w:rPr>
        <w:t xml:space="preserve"> — the zero of the user-side error and that of the total error differ by about 2.1–2.3 (§4.4, §4.7).</w:t>
      </w:r>
    </w:p>
    <w:p>
      <w:pPr>
        <w:pStyle w:val="Heading3"/>
      </w:pPr>
      <w:r>
        <w:rPr>
          <w:rFonts w:ascii="Times New Roman" w:hAnsi="Times New Roman"/>
          <w:b/>
          <w:i w:val="0"/>
          <w:sz w:val="20"/>
        </w:rPr>
        <w:t>2.3 VLM counting, and abstention in the counting domain</w:t>
      </w:r>
    </w:p>
    <w:p>
      <w:r>
        <w:rPr>
          <w:rFonts w:ascii="Times New Roman" w:hAnsi="Times New Roman"/>
          <w:b w:val="0"/>
          <w:i w:val="0"/>
          <w:sz w:val="20"/>
        </w:rPr>
        <w:t xml:space="preserve">VLM counting is an active area, with benchmarks showing that current models count poorly ([9] and successors). A parallel and largely separate literature studies abstention: selective prediction [10], [11], rejection options, abstention benchmarks for multimodal reasoning ([12], [13]), and abstention knobs in video question answering ([14]); and VLM refusal moves with an image's mere presence in ways instructions do not control [15] — acting on the tendency, not on the channel §5.7 manipulates. </w:t>
      </w:r>
      <w:r>
        <w:rPr>
          <w:rFonts w:ascii="Times New Roman" w:hAnsi="Times New Roman"/>
          <w:b/>
          <w:i w:val="0"/>
          <w:sz w:val="20"/>
        </w:rPr>
        <w:t>The gap is that abstention rates are rarely measured on counting tasks</w:t>
      </w:r>
      <w:r>
        <w:rPr>
          <w:rFonts w:ascii="Times New Roman" w:hAnsi="Times New Roman"/>
          <w:b w:val="0"/>
          <w:i w:val="0"/>
          <w:sz w:val="20"/>
        </w:rPr>
        <w:t xml:space="preserve">, and none addresses the </w:t>
      </w:r>
      <w:r>
        <w:rPr>
          <w:rFonts w:ascii="Times New Roman" w:hAnsi="Times New Roman"/>
          <w:b/>
          <w:i w:val="0"/>
          <w:sz w:val="20"/>
        </w:rPr>
        <w:t>implicit</w:t>
      </w:r>
      <w:r>
        <w:rPr>
          <w:rFonts w:ascii="Times New Roman" w:hAnsi="Times New Roman"/>
          <w:b w:val="0"/>
          <w:i w:val="0"/>
          <w:sz w:val="20"/>
        </w:rPr>
        <w:t xml:space="preserve"> case: a literal zero that the output level cannot distinguish from a genuine zero. On counting tasks we </w:t>
      </w:r>
      <w:r>
        <w:rPr>
          <w:rFonts w:ascii="Times New Roman" w:hAnsi="Times New Roman"/>
          <w:b/>
          <w:i w:val="0"/>
          <w:sz w:val="20"/>
        </w:rPr>
        <w:t>reproduce, not claim</w:t>
      </w:r>
      <w:r>
        <w:rPr>
          <w:rFonts w:ascii="Times New Roman" w:hAnsi="Times New Roman"/>
          <w:b w:val="0"/>
          <w:i w:val="0"/>
          <w:sz w:val="20"/>
        </w:rPr>
        <w:t xml:space="preserve"> the legibility gating — gated by per-instance legibility and object count — and for the dominant lineage it appears as that literal zero (§3.6, §5.6).</w:t>
      </w:r>
    </w:p>
    <w:p>
      <w:pPr>
        <w:pStyle w:val="Heading3"/>
      </w:pPr>
      <w:r>
        <w:rPr>
          <w:rFonts w:ascii="Times New Roman" w:hAnsi="Times New Roman"/>
          <w:b/>
          <w:i w:val="0"/>
          <w:sz w:val="20"/>
        </w:rPr>
        <w:t>2.4 A same-source study: numerosity stimuli under orthogonal manipulation</w:t>
      </w:r>
    </w:p>
    <w:p>
      <w:r>
        <w:rPr>
          <w:rFonts w:ascii="Times New Roman" w:hAnsi="Times New Roman"/>
          <w:b w:val="0"/>
          <w:i w:val="0"/>
          <w:sz w:val="20"/>
        </w:rPr>
        <w:t xml:space="preserve">The numerosity tradition [16] and NumerosityVLM [17] likewise use synthetic stimuli under orthogonal manipulation, but </w:t>
      </w:r>
      <w:r>
        <w:rPr>
          <w:rFonts w:ascii="Times New Roman" w:hAnsi="Times New Roman"/>
          <w:b/>
          <w:i w:val="0"/>
          <w:sz w:val="20"/>
        </w:rPr>
        <w:t>answer a different question</w:t>
      </w:r>
      <w:r>
        <w:rPr>
          <w:rFonts w:ascii="Times New Roman" w:hAnsi="Times New Roman"/>
          <w:b w:val="0"/>
          <w:i w:val="0"/>
          <w:sz w:val="20"/>
        </w:rPr>
        <w:t>:</w:t>
      </w:r>
    </w:p>
    <w:p>
      <w:r>
        <w:rPr>
          <w:rFonts w:ascii="Times New Roman" w:hAnsi="Times New Roman"/>
          <w:b/>
          <w:i w:val="0"/>
          <w:sz w:val="20"/>
        </w:rPr>
        <w:t>Table 1.</w:t>
      </w:r>
      <w:r>
        <w:rPr>
          <w:rFonts w:ascii="Times New Roman" w:hAnsi="Times New Roman"/>
          <w:b w:val="0"/>
          <w:i w:val="0"/>
          <w:sz w:val="20"/>
        </w:rPr>
        <w:t xml:space="preserve"> Positioning against the numerosity-stimulus literature of §2.4.</w:t>
      </w:r>
    </w:p>
    <w:tbl>
      <w:tblPr>
        <w:tblW w:type="auto" w:w="0"/>
        <w:tblLook w:firstColumn="1" w:firstRow="1" w:lastColumn="0" w:lastRow="0" w:noHBand="0" w:noVBand="1" w:val="04A0"/>
        <w:tblBorders>
          <w:top w:val="single" w:sz="4" w:color="000000"/>
          <w:bottom w:val="single" w:sz="4" w:color="000000"/>
          <w:insideH w:val="single" w:sz="4" w:color="000000"/>
          <w:left w:val="none" w:sz="0"/>
          <w:right w:val="none" w:sz="0"/>
          <w:insideV w:val="none" w:sz="0"/>
        </w:tblBorders>
      </w:tblPr>
      <w:tblGrid>
        <w:gridCol w:w="2155"/>
        <w:gridCol w:w="2155"/>
        <w:gridCol w:w="2155"/>
      </w:tblGrid>
      <w:tr>
        <w:tc>
          <w:tcPr>
            <w:tcW w:type="dxa" w:w="2155"/>
          </w:tcPr>
          <w:p>
            <w:pPr>
              <w:spacing w:line="240" w:lineRule="auto" w:after="0"/>
            </w:pPr>
            <w:r>
              <w:rPr>
                <w:rFonts w:ascii="Times New Roman" w:hAnsi="Times New Roman"/>
                <w:b/>
                <w:i w:val="0"/>
                <w:sz w:val="20"/>
              </w:rPr>
              <w:t>Dimension</w:t>
            </w:r>
          </w:p>
        </w:tc>
        <w:tc>
          <w:tcPr>
            <w:tcW w:type="dxa" w:w="2155"/>
          </w:tcPr>
          <w:p>
            <w:pPr>
              <w:spacing w:line="240" w:lineRule="auto" w:after="0"/>
            </w:pPr>
            <w:r>
              <w:rPr>
                <w:rFonts w:ascii="Times New Roman" w:hAnsi="Times New Roman"/>
                <w:b/>
                <w:i w:val="0"/>
                <w:sz w:val="20"/>
              </w:rPr>
              <w:t>NumerosityVLM</w:t>
            </w:r>
          </w:p>
        </w:tc>
        <w:tc>
          <w:tcPr>
            <w:tcW w:type="dxa" w:w="2155"/>
          </w:tcPr>
          <w:p>
            <w:pPr>
              <w:spacing w:line="240" w:lineRule="auto" w:after="0"/>
            </w:pPr>
            <w:r>
              <w:rPr>
                <w:rFonts w:ascii="Times New Roman" w:hAnsi="Times New Roman"/>
                <w:b/>
                <w:i w:val="0"/>
                <w:sz w:val="20"/>
              </w:rPr>
              <w:t>This work</w:t>
            </w:r>
          </w:p>
        </w:tc>
      </w:tr>
      <w:tr>
        <w:tc>
          <w:tcPr>
            <w:tcW w:type="dxa" w:w="2155"/>
          </w:tcPr>
          <w:p>
            <w:pPr>
              <w:spacing w:line="240" w:lineRule="auto" w:after="0"/>
            </w:pPr>
            <w:r>
              <w:rPr>
                <w:rFonts w:ascii="Times New Roman" w:hAnsi="Times New Roman"/>
                <w:b w:val="0"/>
                <w:i w:val="0"/>
                <w:sz w:val="20"/>
              </w:rPr>
              <w:t>Stimuli</w:t>
            </w:r>
          </w:p>
        </w:tc>
        <w:tc>
          <w:tcPr>
            <w:tcW w:type="dxa" w:w="2155"/>
          </w:tcPr>
          <w:p>
            <w:pPr>
              <w:spacing w:line="240" w:lineRule="auto" w:after="0"/>
            </w:pPr>
            <w:r>
              <w:rPr>
                <w:rFonts w:ascii="Times New Roman" w:hAnsi="Times New Roman"/>
                <w:b/>
                <w:i w:val="0"/>
                <w:sz w:val="20"/>
              </w:rPr>
              <w:t>10,800</w:t>
            </w:r>
            <w:r>
              <w:rPr>
                <w:rFonts w:ascii="Times New Roman" w:hAnsi="Times New Roman"/>
                <w:b w:val="0"/>
                <w:i w:val="0"/>
                <w:sz w:val="20"/>
              </w:rPr>
              <w:t xml:space="preserve"> synthetic images, </w:t>
            </w:r>
            <w:r>
              <w:rPr>
                <w:rFonts w:ascii="Times New Roman" w:hAnsi="Times New Roman"/>
                <w:b/>
                <w:i w:val="0"/>
                <w:sz w:val="20"/>
              </w:rPr>
              <w:t>six</w:t>
            </w:r>
            <w:r>
              <w:rPr>
                <w:rFonts w:ascii="Times New Roman" w:hAnsi="Times New Roman"/>
                <w:b w:val="0"/>
                <w:i w:val="0"/>
                <w:sz w:val="20"/>
              </w:rPr>
              <w:t xml:space="preserve"> controlled conditions, </w:t>
            </w:r>
            <w:r>
              <w:rPr>
                <w:rFonts w:ascii="Times New Roman" w:hAnsi="Times New Roman"/>
                <w:b/>
                <w:i w:val="0"/>
                <w:sz w:val="20"/>
              </w:rPr>
              <w:t>seven</w:t>
            </w:r>
            <w:r>
              <w:rPr>
                <w:rFonts w:ascii="Times New Roman" w:hAnsi="Times New Roman"/>
                <w:b w:val="0"/>
                <w:i w:val="0"/>
                <w:sz w:val="20"/>
              </w:rPr>
              <w:t xml:space="preserve"> VLMs</w:t>
            </w:r>
          </w:p>
        </w:tc>
        <w:tc>
          <w:tcPr>
            <w:tcW w:type="dxa" w:w="2155"/>
          </w:tcPr>
          <w:p>
            <w:pPr>
              <w:spacing w:line="240" w:lineRule="auto" w:after="0"/>
            </w:pPr>
            <w:r>
              <w:rPr>
                <w:rFonts w:ascii="Times New Roman" w:hAnsi="Times New Roman"/>
                <w:b w:val="0"/>
                <w:i w:val="0"/>
                <w:sz w:val="20"/>
              </w:rPr>
              <w:t xml:space="preserve">Synthetic </w:t>
            </w:r>
            <w:r>
              <w:rPr>
                <w:rFonts w:ascii="Times New Roman" w:hAnsi="Times New Roman"/>
                <w:b/>
                <w:i w:val="0"/>
                <w:sz w:val="20"/>
              </w:rPr>
              <w:t>and</w:t>
            </w:r>
            <w:r>
              <w:rPr>
                <w:rFonts w:ascii="Times New Roman" w:hAnsi="Times New Roman"/>
                <w:b w:val="0"/>
                <w:i w:val="0"/>
                <w:sz w:val="20"/>
              </w:rPr>
              <w:t xml:space="preserve"> real; pixel budget, blur, contrast, crowding, tiling, prompt</w:t>
            </w:r>
          </w:p>
        </w:tc>
      </w:tr>
      <w:tr>
        <w:tc>
          <w:tcPr>
            <w:tcW w:type="dxa" w:w="2155"/>
          </w:tcPr>
          <w:p>
            <w:pPr>
              <w:spacing w:line="240" w:lineRule="auto" w:after="0"/>
            </w:pPr>
            <w:r>
              <w:rPr>
                <w:rFonts w:ascii="Times New Roman" w:hAnsi="Times New Roman"/>
                <w:b w:val="0"/>
                <w:i w:val="0"/>
                <w:sz w:val="20"/>
              </w:rPr>
              <w:t>Dependent variable</w:t>
            </w:r>
          </w:p>
        </w:tc>
        <w:tc>
          <w:tcPr>
            <w:tcW w:type="dxa" w:w="2155"/>
          </w:tcPr>
          <w:p>
            <w:pPr>
              <w:spacing w:line="240" w:lineRule="auto" w:after="0"/>
            </w:pPr>
            <w:r>
              <w:rPr>
                <w:rFonts w:ascii="Times New Roman" w:hAnsi="Times New Roman"/>
                <w:b/>
                <w:i w:val="0"/>
                <w:sz w:val="20"/>
              </w:rPr>
              <w:t>Accuracy</w:t>
            </w:r>
          </w:p>
        </w:tc>
        <w:tc>
          <w:tcPr>
            <w:tcW w:type="dxa" w:w="2155"/>
          </w:tcPr>
          <w:p>
            <w:pPr>
              <w:spacing w:line="240" w:lineRule="auto" w:after="0"/>
            </w:pPr>
            <w:r>
              <w:rPr>
                <w:rFonts w:ascii="Times New Roman" w:hAnsi="Times New Roman"/>
                <w:b/>
                <w:i w:val="0"/>
                <w:sz w:val="20"/>
              </w:rPr>
              <w:t>Signed error direction and abstention</w:t>
            </w:r>
          </w:p>
        </w:tc>
      </w:tr>
      <w:tr>
        <w:tc>
          <w:tcPr>
            <w:tcW w:type="dxa" w:w="2155"/>
          </w:tcPr>
          <w:p>
            <w:pPr>
              <w:spacing w:line="240" w:lineRule="auto" w:after="0"/>
            </w:pPr>
            <w:r>
              <w:rPr>
                <w:rFonts w:ascii="Times New Roman" w:hAnsi="Times New Roman"/>
                <w:b w:val="0"/>
                <w:i w:val="0"/>
                <w:sz w:val="20"/>
              </w:rPr>
              <w:t>Conclusion</w:t>
            </w:r>
          </w:p>
        </w:tc>
        <w:tc>
          <w:tcPr>
            <w:tcW w:type="dxa" w:w="2155"/>
          </w:tcPr>
          <w:p>
            <w:pPr>
              <w:spacing w:line="240" w:lineRule="auto" w:after="0"/>
            </w:pPr>
            <w:r>
              <w:rPr>
                <w:rFonts w:ascii="Times New Roman" w:hAnsi="Times New Roman"/>
                <w:b w:val="0"/>
                <w:i w:val="0"/>
                <w:sz w:val="20"/>
              </w:rPr>
              <w:t>Architecture explains most variance</w:t>
            </w:r>
          </w:p>
        </w:tc>
        <w:tc>
          <w:tcPr>
            <w:tcW w:type="dxa" w:w="2155"/>
          </w:tcPr>
          <w:p>
            <w:pPr>
              <w:spacing w:line="240" w:lineRule="auto" w:after="0"/>
            </w:pPr>
            <w:r>
              <w:rPr>
                <w:rFonts w:ascii="Times New Roman" w:hAnsi="Times New Roman"/>
                <w:b w:val="0"/>
                <w:i w:val="0"/>
                <w:sz w:val="20"/>
              </w:rPr>
              <w:t>Direction is governed by implementation × training domain × data domain × protocol</w:t>
            </w:r>
          </w:p>
        </w:tc>
      </w:tr>
    </w:tbl>
    <w:p/>
    <w:p>
      <w:pPr>
        <w:pStyle w:val="Heading3"/>
      </w:pPr>
      <w:r>
        <w:rPr>
          <w:rFonts w:ascii="Times New Roman" w:hAnsi="Times New Roman"/>
          <w:b/>
          <w:i w:val="0"/>
          <w:sz w:val="20"/>
        </w:rPr>
        <w:t>2.5 Sparse counting and the head/person granularity problem</w:t>
      </w:r>
    </w:p>
    <w:p>
      <w:r>
        <w:rPr>
          <w:rFonts w:ascii="Times New Roman" w:hAnsi="Times New Roman"/>
          <w:b w:val="0"/>
          <w:i w:val="0"/>
          <w:sz w:val="20"/>
        </w:rPr>
        <w:t xml:space="preserve">Sparse counting benchmarks (SFCHD [18], FSC-147 [7], CountBench [19], TallyQA [20]) [21] and the head/person literature supply our sparse and external-validity settings. Recent work notes that </w:t>
      </w:r>
      <w:r>
        <w:rPr>
          <w:rFonts w:ascii="Times New Roman" w:hAnsi="Times New Roman"/>
          <w:b/>
          <w:i w:val="0"/>
          <w:sz w:val="20"/>
        </w:rPr>
        <w:t>counting granularity is left implicit</w:t>
      </w:r>
      <w:r>
        <w:rPr>
          <w:rFonts w:ascii="Times New Roman" w:hAnsi="Times New Roman"/>
          <w:b w:val="0"/>
          <w:i w:val="0"/>
          <w:sz w:val="20"/>
        </w:rPr>
        <w:t>, and that most counting datasets lack multi-granularity annotation ([22]; [23]); §3.2 makes it a first-class variable.</w:t>
      </w:r>
    </w:p>
    <w:p>
      <w:pPr>
        <w:pStyle w:val="Heading3"/>
      </w:pPr>
      <w:r>
        <w:rPr>
          <w:rFonts w:ascii="Times New Roman" w:hAnsi="Times New Roman"/>
          <w:b/>
          <w:i w:val="0"/>
          <w:sz w:val="20"/>
        </w:rPr>
        <w:t>2.6 VLM counting-failure mechanisms: our positioning</w:t>
      </w:r>
    </w:p>
    <w:p>
      <w:r>
        <w:rPr>
          <w:rFonts w:ascii="Times New Roman" w:hAnsi="Times New Roman"/>
          <w:b w:val="0"/>
          <w:i w:val="0"/>
          <w:sz w:val="20"/>
        </w:rPr>
        <w:t xml:space="preserve">Recent work locates counting failure at the </w:t>
      </w:r>
      <w:r>
        <w:rPr>
          <w:rFonts w:ascii="Times New Roman" w:hAnsi="Times New Roman"/>
          <w:b/>
          <w:i w:val="0"/>
          <w:sz w:val="20"/>
        </w:rPr>
        <w:t>reporting</w:t>
      </w:r>
      <w:r>
        <w:rPr>
          <w:rFonts w:ascii="Times New Roman" w:hAnsi="Times New Roman"/>
          <w:b w:val="0"/>
          <w:i w:val="0"/>
          <w:sz w:val="20"/>
        </w:rPr>
        <w:t xml:space="preserve"> stage ([24]; a hierarchy in [25]) and establishes cross-paradigm counting comparison ([26]); </w:t>
      </w:r>
      <w:r>
        <w:rPr>
          <w:rFonts w:ascii="Times New Roman" w:hAnsi="Times New Roman"/>
          <w:b/>
          <w:i w:val="0"/>
          <w:sz w:val="20"/>
        </w:rPr>
        <w:t>we cite that locus, not claim it</w:t>
      </w:r>
      <w:r>
        <w:rPr>
          <w:rFonts w:ascii="Times New Roman" w:hAnsi="Times New Roman"/>
          <w:b w:val="0"/>
          <w:i w:val="0"/>
          <w:sz w:val="20"/>
        </w:rPr>
        <w:t xml:space="preserve">. Those works localise the failing stage — one decomposing counting into visual individuation, magnitude awareness and symbolic mapping [27] — whereas our quantity is the </w:t>
      </w:r>
      <w:r>
        <w:rPr>
          <w:rFonts w:ascii="Times New Roman" w:hAnsi="Times New Roman"/>
          <w:b/>
          <w:i w:val="0"/>
          <w:sz w:val="20"/>
        </w:rPr>
        <w:t>composition of what it emits</w:t>
      </w:r>
      <w:r>
        <w:rPr>
          <w:rFonts w:ascii="Times New Roman" w:hAnsi="Times New Roman"/>
          <w:b w:val="0"/>
          <w:i w:val="0"/>
          <w:sz w:val="20"/>
        </w:rPr>
        <w:t xml:space="preserve">: an answered </w:t>
      </w:r>
      <w:r>
        <w:rPr>
          <w:rFonts w:ascii="Times New Roman" w:hAnsi="Times New Roman"/>
          <w:b w:val="0"/>
          <w:i/>
          <w:sz w:val="20"/>
        </w:rPr>
        <w:t>0</w:t>
      </w:r>
      <w:r>
        <w:rPr>
          <w:rFonts w:ascii="Times New Roman" w:hAnsi="Times New Roman"/>
          <w:b w:val="0"/>
          <w:i w:val="0"/>
          <w:sz w:val="20"/>
        </w:rPr>
        <w:t xml:space="preserve"> split into a </w:t>
      </w:r>
      <w:r>
        <w:rPr>
          <w:rFonts w:ascii="Times New Roman" w:hAnsi="Times New Roman"/>
          <w:b/>
          <w:i w:val="0"/>
          <w:sz w:val="20"/>
        </w:rPr>
        <w:t>suppressed abstention</w:t>
      </w:r>
      <w:r>
        <w:rPr>
          <w:rFonts w:ascii="Times New Roman" w:hAnsi="Times New Roman"/>
          <w:b w:val="0"/>
          <w:i w:val="0"/>
          <w:sz w:val="20"/>
        </w:rPr>
        <w:t xml:space="preserve"> recoverable by an output contract and a </w:t>
      </w:r>
      <w:r>
        <w:rPr>
          <w:rFonts w:ascii="Times New Roman" w:hAnsi="Times New Roman"/>
          <w:b/>
          <w:i w:val="0"/>
          <w:sz w:val="20"/>
        </w:rPr>
        <w:t>genuine estimate of zero</w:t>
      </w:r>
      <w:r>
        <w:rPr>
          <w:rFonts w:ascii="Times New Roman" w:hAnsi="Times New Roman"/>
          <w:b w:val="0"/>
          <w:i w:val="0"/>
          <w:sz w:val="20"/>
        </w:rPr>
        <w:t>, separated on a fixed serving stack in §3.8 and §5.7.</w:t>
      </w:r>
    </w:p>
    <w:p>
      <w:pPr>
        <w:pStyle w:val="Heading3"/>
      </w:pPr>
      <w:r>
        <w:rPr>
          <w:rFonts w:ascii="Times New Roman" w:hAnsi="Times New Roman"/>
          <w:b/>
          <w:i w:val="0"/>
          <w:sz w:val="20"/>
        </w:rPr>
        <w:t>2.7 Evaluation validity: non-determinism and aggregate metrics</w:t>
      </w:r>
    </w:p>
    <w:p>
      <w:r>
        <w:rPr>
          <w:rFonts w:ascii="Times New Roman" w:hAnsi="Times New Roman"/>
          <w:b w:val="0"/>
          <w:i w:val="0"/>
          <w:sz w:val="20"/>
        </w:rPr>
        <w:t xml:space="preserve">Our VLM indicators came from single samples. Repeat sampling shows item-level reproducibility for a hosted API to be about </w:t>
      </w:r>
      <w:r>
        <w:rPr>
          <w:rFonts w:ascii="Times New Roman" w:hAnsi="Times New Roman"/>
          <w:b/>
          <w:i w:val="0"/>
          <w:sz w:val="20"/>
        </w:rPr>
        <w:t>15%</w:t>
      </w:r>
      <w:r>
        <w:rPr>
          <w:rFonts w:ascii="Times New Roman" w:hAnsi="Times New Roman"/>
          <w:b w:val="0"/>
          <w:i w:val="0"/>
          <w:sz w:val="20"/>
        </w:rPr>
        <w:t>, while a locally controlled stack agrees at essentially 100% (batch ≤ 2); aggregates are far more stable (Appendix A).</w:t>
      </w:r>
    </w:p>
    <w:p>
      <w:pPr>
        <w:pStyle w:val="Heading3"/>
      </w:pPr>
      <w:r>
        <w:rPr>
          <w:rFonts w:ascii="Times New Roman" w:hAnsi="Times New Roman"/>
          <w:b/>
          <w:i w:val="0"/>
          <w:sz w:val="20"/>
        </w:rPr>
        <w:t>2.8 Crowded-scene occlusion counting</w:t>
      </w:r>
    </w:p>
    <w:p>
      <w:r>
        <w:rPr>
          <w:rFonts w:ascii="Times New Roman" w:hAnsi="Times New Roman"/>
          <w:b w:val="0"/>
          <w:i w:val="0"/>
          <w:sz w:val="20"/>
        </w:rPr>
        <w:t xml:space="preserve">A dedicated benchmark evaluates VLMs on counting occluded objects (CAPTURe [28]). Its objects remain </w:t>
      </w:r>
      <w:r>
        <w:rPr>
          <w:rFonts w:ascii="Times New Roman" w:hAnsi="Times New Roman"/>
          <w:b/>
          <w:i w:val="0"/>
          <w:sz w:val="20"/>
        </w:rPr>
        <w:t>informative</w:t>
      </w:r>
      <w:r>
        <w:rPr>
          <w:rFonts w:ascii="Times New Roman" w:hAnsi="Times New Roman"/>
          <w:b w:val="0"/>
          <w:i w:val="0"/>
          <w:sz w:val="20"/>
        </w:rPr>
        <w:t xml:space="preserve"> behind the occluder and require inference, so it probes reasoning; our occlusion factor asks instead whether an instance is still </w:t>
      </w:r>
      <w:r>
        <w:rPr>
          <w:rFonts w:ascii="Times New Roman" w:hAnsi="Times New Roman"/>
          <w:b/>
          <w:i w:val="0"/>
          <w:sz w:val="20"/>
        </w:rPr>
        <w:t>ascertainable</w:t>
      </w:r>
      <w:r>
        <w:rPr>
          <w:rFonts w:ascii="Times New Roman" w:hAnsi="Times New Roman"/>
          <w:b w:val="0"/>
          <w:i w:val="0"/>
          <w:sz w:val="20"/>
        </w:rPr>
        <w:t xml:space="preserve"> given a pixel budget. The models do </w:t>
      </w:r>
      <w:r>
        <w:rPr>
          <w:rFonts w:ascii="Times New Roman" w:hAnsi="Times New Roman"/>
          <w:b/>
          <w:i w:val="0"/>
          <w:sz w:val="20"/>
        </w:rPr>
        <w:t>not</w:t>
      </w:r>
      <w:r>
        <w:rPr>
          <w:rFonts w:ascii="Times New Roman" w:hAnsi="Times New Roman"/>
          <w:b w:val="0"/>
          <w:i w:val="0"/>
          <w:sz w:val="20"/>
        </w:rPr>
        <w:t xml:space="preserve"> perform modal completion: when inference is possible they neither infer nor abstain, they under-report as usual (−50% vs. −50%). (Appendix M.11)</w:t>
      </w:r>
    </w:p>
    <w:p>
      <w:pPr>
        <w:pStyle w:val="Heading2"/>
      </w:pPr>
      <w:r>
        <w:rPr>
          <w:rFonts w:ascii="Times New Roman" w:hAnsi="Times New Roman"/>
          <w:b/>
          <w:i w:val="0"/>
          <w:sz w:val="24"/>
        </w:rPr>
        <w:t>3. Method</w:t>
      </w:r>
    </w:p>
    <w:p>
      <w:pPr>
        <w:pStyle w:val="Heading3"/>
      </w:pPr>
      <w:r>
        <w:rPr>
          <w:rFonts w:ascii="Times New Roman" w:hAnsi="Times New Roman"/>
          <w:b/>
          <w:i w:val="0"/>
          <w:sz w:val="20"/>
        </w:rPr>
        <w:t>3.1 Counting conventions and metrics</w:t>
      </w:r>
    </w:p>
    <w:p>
      <w:r>
        <w:rPr>
          <w:rFonts w:ascii="Times New Roman" w:hAnsi="Times New Roman"/>
          <w:b w:val="0"/>
          <w:i w:val="0"/>
          <w:sz w:val="20"/>
        </w:rPr>
        <w:t>Calibration conventions and their failure modes follow the standard taxonomy of Guo et al. [29]; stated for classification, it is a naming convention for the counting map, not a validated calibration result.</w:t>
      </w:r>
    </w:p>
    <w:p>
      <w:r>
        <w:rPr>
          <w:rFonts w:ascii="Times New Roman" w:hAnsi="Times New Roman"/>
          <w:b w:val="0"/>
          <w:i w:val="0"/>
          <w:sz w:val="20"/>
        </w:rPr>
        <w:t xml:space="preserve">All three families are evaluated against the same ground truth. Magnitude metrics are MAE, RMSE, normalised MAE and tolerance-based scores; the principal </w:t>
      </w:r>
      <w:r>
        <w:rPr>
          <w:rFonts w:ascii="Times New Roman" w:hAnsi="Times New Roman"/>
          <w:b/>
          <w:i w:val="0"/>
          <w:sz w:val="20"/>
        </w:rPr>
        <w:t>directional</w:t>
      </w:r>
      <w:r>
        <w:rPr>
          <w:rFonts w:ascii="Times New Roman" w:hAnsi="Times New Roman"/>
          <w:b w:val="0"/>
          <w:i w:val="0"/>
          <w:sz w:val="20"/>
        </w:rPr>
        <w:t xml:space="preserve"> quantity is the signed relative deviation</w:t>
      </w:r>
    </w:p>
    <w:p>
      <w:r>
        <w:rPr>
          <w:rFonts w:ascii="Times New Roman" w:hAnsi="Times New Roman"/>
          <w:b w:val="0"/>
          <w:i w:val="0"/>
          <w:sz w:val="20"/>
        </w:rPr>
        <w:t>ρ  =  pred - gtgt (in percent, signed),</w:t>
      </w:r>
    </w:p>
    <w:p>
      <w:r>
        <w:rPr>
          <w:rFonts w:ascii="Times New Roman" w:hAnsi="Times New Roman"/>
          <w:b w:val="0"/>
          <w:i w:val="0"/>
          <w:sz w:val="20"/>
        </w:rPr>
        <w:t xml:space="preserve">Two uncertainty quantities are used here and are </w:t>
      </w:r>
      <w:r>
        <w:rPr>
          <w:rFonts w:ascii="Times New Roman" w:hAnsi="Times New Roman"/>
          <w:b/>
          <w:i w:val="0"/>
          <w:sz w:val="20"/>
        </w:rPr>
        <w:t>not interchangeable</w:t>
      </w:r>
      <w:r>
        <w:rPr>
          <w:rFonts w:ascii="Times New Roman" w:hAnsi="Times New Roman"/>
          <w:b w:val="0"/>
          <w:i w:val="0"/>
          <w:sz w:val="20"/>
        </w:rPr>
        <w:t xml:space="preserve">: the </w:t>
      </w:r>
      <w:r>
        <w:rPr>
          <w:rFonts w:ascii="Times New Roman" w:hAnsi="Times New Roman"/>
          <w:b/>
          <w:i w:val="0"/>
          <w:sz w:val="20"/>
        </w:rPr>
        <w:t>across-repeat</w:t>
      </w:r>
      <w:r>
        <w:rPr>
          <w:rFonts w:ascii="Times New Roman" w:hAnsi="Times New Roman"/>
          <w:b w:val="0"/>
          <w:i w:val="0"/>
          <w:sz w:val="20"/>
        </w:rPr>
        <w:t xml:space="preserve"> band of §A.3 governs cross-model and cross-configuration comparisons, whereas a per-cell interval resamples images and is therefore a </w:t>
      </w:r>
      <w:r>
        <w:rPr>
          <w:rFonts w:ascii="Times New Roman" w:hAnsi="Times New Roman"/>
          <w:b/>
          <w:i w:val="0"/>
          <w:sz w:val="20"/>
        </w:rPr>
        <w:t>lower bound</w:t>
      </w:r>
      <w:r>
        <w:rPr>
          <w:rFonts w:ascii="Times New Roman" w:hAnsi="Times New Roman"/>
          <w:b w:val="0"/>
          <w:i w:val="0"/>
          <w:sz w:val="20"/>
        </w:rPr>
        <w:t xml:space="preserve"> (§A.2). The quantity has </w:t>
      </w:r>
      <w:r>
        <w:rPr>
          <w:rFonts w:ascii="Times New Roman" w:hAnsi="Times New Roman"/>
          <w:b/>
          <w:i w:val="0"/>
          <w:sz w:val="20"/>
        </w:rPr>
        <w:t>two sub-conventions that must be labelled separately</w:t>
      </w:r>
      <w:r>
        <w:rPr>
          <w:rFonts w:ascii="Times New Roman" w:hAnsi="Times New Roman"/>
          <w:b w:val="0"/>
          <w:i w:val="0"/>
          <w:sz w:val="20"/>
        </w:rPr>
        <w:t xml:space="preserve"> — the </w:t>
      </w:r>
      <w:r>
        <w:rPr>
          <w:rFonts w:ascii="Times New Roman" w:hAnsi="Times New Roman"/>
          <w:b/>
          <w:i w:val="0"/>
          <w:sz w:val="20"/>
        </w:rPr>
        <w:t>pooled ratio</w:t>
      </w:r>
      <w:r>
        <w:rPr>
          <w:rFonts w:ascii="Times New Roman" w:hAnsi="Times New Roman"/>
          <w:b w:val="0"/>
          <w:i w:val="0"/>
          <w:sz w:val="20"/>
        </w:rPr>
        <w:t xml:space="preserve"> and the </w:t>
      </w:r>
      <w:r>
        <w:rPr>
          <w:rFonts w:ascii="Times New Roman" w:hAnsi="Times New Roman"/>
          <w:b/>
          <w:i w:val="0"/>
          <w:sz w:val="20"/>
        </w:rPr>
        <w:t>per-image ratio mean</w:t>
      </w:r>
      <w:r>
        <w:rPr>
          <w:rFonts w:ascii="Times New Roman" w:hAnsi="Times New Roman"/>
          <w:b w:val="0"/>
          <w:i w:val="0"/>
          <w:sz w:val="20"/>
        </w:rPr>
        <w:t xml:space="preserve"> — whose divergence condition is given by Proposition 2. Correlation coefficients are always written r and annotated as Pearson or Spearman. </w:t>
      </w:r>
      <w:r>
        <w:rPr>
          <w:rFonts w:ascii="Times New Roman" w:hAnsi="Times New Roman"/>
          <w:b/>
          <w:i w:val="0"/>
          <w:sz w:val="20"/>
        </w:rPr>
        <w:t>Abstention</w:t>
      </w:r>
      <w:r>
        <w:rPr>
          <w:rFonts w:ascii="Times New Roman" w:hAnsi="Times New Roman"/>
          <w:b w:val="0"/>
          <w:i w:val="0"/>
          <w:sz w:val="20"/>
        </w:rPr>
        <w:t xml:space="preserve"> is an indicator in its own right, never folded into tolerance-based scoring, and always reported as a </w:t>
      </w:r>
      <w:r>
        <w:rPr>
          <w:rFonts w:ascii="Times New Roman" w:hAnsi="Times New Roman"/>
          <w:b/>
          <w:i w:val="0"/>
          <w:sz w:val="20"/>
        </w:rPr>
        <w:t>triad</w:t>
      </w:r>
      <w:r>
        <w:rPr>
          <w:rFonts w:ascii="Times New Roman" w:hAnsi="Times New Roman"/>
          <w:b w:val="0"/>
          <w:i w:val="0"/>
          <w:sz w:val="20"/>
        </w:rPr>
        <w:t>: the rate, ρ on answered items only, and the ground-truth-weighted under-count share S (Proposition 4), whose conditioning event and denominator are not those of the Proposition 7 channel coverage. Density is summarised by OPM, whose applicability boundary is §7.1.</w:t>
      </w:r>
    </w:p>
    <w:p>
      <w:pPr>
        <w:pStyle w:val="Heading3"/>
      </w:pPr>
      <w:r>
        <w:rPr>
          <w:rFonts w:ascii="Times New Roman" w:hAnsi="Times New Roman"/>
          <w:b/>
          <w:i w:val="0"/>
          <w:sz w:val="20"/>
        </w:rPr>
        <w:t>3.2 Target granularity is a first-class, and widely ignored, variable</w:t>
      </w:r>
    </w:p>
    <w:p>
      <w:r>
        <w:rPr>
          <w:rFonts w:ascii="Times New Roman" w:hAnsi="Times New Roman"/>
          <w:b w:val="0"/>
          <w:i w:val="0"/>
          <w:sz w:val="20"/>
        </w:rPr>
        <w:t xml:space="preserve">In counting, "one target" is not naturally determined: in a safety-helmet scene an annotation may define the </w:t>
      </w:r>
      <w:r>
        <w:rPr>
          <w:rFonts w:ascii="Times New Roman" w:hAnsi="Times New Roman"/>
          <w:b/>
          <w:i w:val="0"/>
          <w:sz w:val="20"/>
        </w:rPr>
        <w:t>head</w:t>
      </w:r>
      <w:r>
        <w:rPr>
          <w:rFonts w:ascii="Times New Roman" w:hAnsi="Times New Roman"/>
          <w:b w:val="0"/>
          <w:i w:val="0"/>
          <w:sz w:val="20"/>
        </w:rPr>
        <w:t xml:space="preserve"> or the </w:t>
      </w:r>
      <w:r>
        <w:rPr>
          <w:rFonts w:ascii="Times New Roman" w:hAnsi="Times New Roman"/>
          <w:b/>
          <w:i w:val="0"/>
          <w:sz w:val="20"/>
        </w:rPr>
        <w:t>whole person</w:t>
      </w:r>
      <w:r>
        <w:rPr>
          <w:rFonts w:ascii="Times New Roman" w:hAnsi="Times New Roman"/>
          <w:b w:val="0"/>
          <w:i w:val="0"/>
          <w:sz w:val="20"/>
        </w:rPr>
        <w:t xml:space="preserve">. Running both conventions on SFCHD shows that </w:t>
      </w:r>
      <w:r>
        <w:rPr>
          <w:rFonts w:ascii="Times New Roman" w:hAnsi="Times New Roman"/>
          <w:b/>
          <w:i w:val="0"/>
          <w:sz w:val="20"/>
        </w:rPr>
        <w:t>changing the convention changes the sign and magnitude of the conclusion</w:t>
      </w:r>
      <w:r>
        <w:rPr>
          <w:rFonts w:ascii="Times New Roman" w:hAnsi="Times New Roman"/>
          <w:b w:val="0"/>
          <w:i w:val="0"/>
          <w:sz w:val="20"/>
        </w:rPr>
        <w:t xml:space="preserve"> (§5.2). Part of the spread across published counting numbers is a granularity artefact, not a modelling difference, so </w:t>
      </w:r>
      <w:r>
        <w:rPr>
          <w:rFonts w:ascii="Times New Roman" w:hAnsi="Times New Roman"/>
          <w:b/>
          <w:i w:val="0"/>
          <w:sz w:val="20"/>
        </w:rPr>
        <w:t>any counting evaluation must declare its target granularity explicitly</w:t>
      </w:r>
      <w:r>
        <w:rPr>
          <w:rFonts w:ascii="Times New Roman" w:hAnsi="Times New Roman"/>
          <w:b w:val="0"/>
          <w:i w:val="0"/>
          <w:sz w:val="20"/>
        </w:rPr>
        <w:t>.</w:t>
      </w:r>
    </w:p>
    <w:p>
      <w:pPr>
        <w:pStyle w:val="Heading3"/>
      </w:pPr>
      <w:r>
        <w:rPr>
          <w:rFonts w:ascii="Times New Roman" w:hAnsi="Times New Roman"/>
          <w:b/>
          <w:i w:val="0"/>
          <w:sz w:val="20"/>
        </w:rPr>
        <w:t>3.3 Per-instance legibility: definition, operationalisation and boundaries</w:t>
      </w:r>
    </w:p>
    <w:p>
      <w:r>
        <w:rPr>
          <w:rFonts w:ascii="Times New Roman" w:hAnsi="Times New Roman"/>
          <w:b w:val="0"/>
          <w:i w:val="0"/>
          <w:sz w:val="20"/>
        </w:rPr>
        <w:t xml:space="preserve">Our central independent variable is </w:t>
      </w:r>
      <w:r>
        <w:rPr>
          <w:rFonts w:ascii="Times New Roman" w:hAnsi="Times New Roman"/>
          <w:b/>
          <w:i w:val="0"/>
          <w:sz w:val="20"/>
        </w:rPr>
        <w:t>per-instance legibility</w:t>
      </w:r>
      <w:r>
        <w:rPr>
          <w:rFonts w:ascii="Times New Roman" w:hAnsi="Times New Roman"/>
          <w:b w:val="0"/>
          <w:i w:val="0"/>
          <w:sz w:val="20"/>
        </w:rPr>
        <w:t xml:space="preserve"> — whether, under the given observation conditions, a target instance is still sufficient to be judged an independent instance. It is </w:t>
      </w:r>
      <w:r>
        <w:rPr>
          <w:rFonts w:ascii="Times New Roman" w:hAnsi="Times New Roman"/>
          <w:b/>
          <w:i w:val="0"/>
          <w:sz w:val="20"/>
        </w:rPr>
        <w:t>not a property of the model</w:t>
      </w:r>
      <w:r>
        <w:rPr>
          <w:rFonts w:ascii="Times New Roman" w:hAnsi="Times New Roman"/>
          <w:b w:val="0"/>
          <w:i w:val="0"/>
          <w:sz w:val="20"/>
        </w:rPr>
        <w:t xml:space="preserve"> but of observation conditions × annotation granularity, and can therefore be computed </w:t>
      </w:r>
      <w:r>
        <w:rPr>
          <w:rFonts w:ascii="Times New Roman" w:hAnsi="Times New Roman"/>
          <w:b/>
          <w:i w:val="0"/>
          <w:sz w:val="20"/>
        </w:rPr>
        <w:t>before inference</w:t>
      </w:r>
      <w:r>
        <w:rPr>
          <w:rFonts w:ascii="Times New Roman" w:hAnsi="Times New Roman"/>
          <w:b w:val="0"/>
          <w:i w:val="0"/>
          <w:sz w:val="20"/>
        </w:rPr>
        <w:t xml:space="preserve"> from images and annotations.</w:t>
      </w:r>
    </w:p>
    <w:p>
      <w:r>
        <w:rPr>
          <w:rFonts w:ascii="Times New Roman" w:hAnsi="Times New Roman"/>
          <w:b/>
          <w:i w:val="0"/>
          <w:sz w:val="20"/>
        </w:rPr>
        <w:t>It is a multivariate construct; we do not assume a single sufficient proxy.</w:t>
      </w:r>
      <w:r>
        <w:rPr>
          <w:rFonts w:ascii="Times New Roman" w:hAnsi="Times New Roman"/>
          <w:b w:val="0"/>
          <w:i w:val="0"/>
          <w:sz w:val="20"/>
        </w:rPr>
        <w:t xml:space="preserve"> The three manipulable factors are </w:t>
      </w:r>
      <w:r>
        <w:rPr>
          <w:rFonts w:ascii="Times New Roman" w:hAnsi="Times New Roman"/>
          <w:b/>
          <w:i w:val="0"/>
          <w:sz w:val="20"/>
        </w:rPr>
        <w:t>instance size</w:t>
      </w:r>
      <w:r>
        <w:rPr>
          <w:rFonts w:ascii="Times New Roman" w:hAnsi="Times New Roman"/>
          <w:b w:val="0"/>
          <w:i w:val="0"/>
          <w:sz w:val="20"/>
        </w:rPr>
        <w:t xml:space="preserve">, </w:t>
      </w:r>
      <w:r>
        <w:rPr>
          <w:rFonts w:ascii="Times New Roman" w:hAnsi="Times New Roman"/>
          <w:b/>
          <w:i w:val="0"/>
          <w:sz w:val="20"/>
        </w:rPr>
        <w:t>blur</w:t>
      </w:r>
      <w:r>
        <w:rPr>
          <w:rFonts w:ascii="Times New Roman" w:hAnsi="Times New Roman"/>
          <w:b w:val="0"/>
          <w:i w:val="0"/>
          <w:sz w:val="20"/>
        </w:rPr>
        <w:t xml:space="preserve"> σ (decoupled from resolution) and </w:t>
      </w:r>
      <w:r>
        <w:rPr>
          <w:rFonts w:ascii="Times New Roman" w:hAnsi="Times New Roman"/>
          <w:b/>
          <w:i w:val="0"/>
          <w:sz w:val="20"/>
        </w:rPr>
        <w:t>overlap</w:t>
      </w:r>
      <w:r>
        <w:rPr>
          <w:rFonts w:ascii="Times New Roman" w:hAnsi="Times New Roman"/>
          <w:b w:val="0"/>
          <w:i w:val="0"/>
          <w:sz w:val="20"/>
        </w:rPr>
        <w:t xml:space="preserve"> (arrangement at fixed size and blur). Their effects are </w:t>
      </w:r>
      <w:r>
        <w:rPr>
          <w:rFonts w:ascii="Times New Roman" w:hAnsi="Times New Roman"/>
          <w:b/>
          <w:i w:val="0"/>
          <w:sz w:val="20"/>
        </w:rPr>
        <w:t>not equal</w:t>
      </w:r>
      <w:r>
        <w:rPr>
          <w:rFonts w:ascii="Times New Roman" w:hAnsi="Times New Roman"/>
          <w:b w:val="0"/>
          <w:i w:val="0"/>
          <w:sz w:val="20"/>
        </w:rPr>
        <w:t xml:space="preserve">: under controlled frame pairing </w:t>
      </w:r>
      <w:r>
        <w:rPr>
          <w:rFonts w:ascii="Times New Roman" w:hAnsi="Times New Roman"/>
          <w:b/>
          <w:i w:val="0"/>
          <w:sz w:val="20"/>
        </w:rPr>
        <w:t>blur is the strongest single gate</w:t>
      </w:r>
      <w:r>
        <w:rPr>
          <w:rFonts w:ascii="Times New Roman" w:hAnsi="Times New Roman"/>
          <w:b w:val="0"/>
          <w:i w:val="0"/>
          <w:sz w:val="20"/>
        </w:rPr>
        <w:t xml:space="preserve">, while the </w:t>
      </w:r>
      <w:r>
        <w:rPr>
          <w:rFonts w:ascii="Times New Roman" w:hAnsi="Times New Roman"/>
          <w:b/>
          <w:i w:val="0"/>
          <w:sz w:val="20"/>
        </w:rPr>
        <w:t>per-instance pixel budget is a covariate, not the gate</w:t>
      </w:r>
      <w:r>
        <w:rPr>
          <w:rFonts w:ascii="Times New Roman" w:hAnsi="Times New Roman"/>
          <w:b w:val="0"/>
          <w:i w:val="0"/>
          <w:sz w:val="20"/>
        </w:rPr>
        <w:t xml:space="preserve"> — informative within a domain, but at fixed scale it co-varies with instances per image, and across the aerial and microscopy domains the two decouple (§5.6, §5.10).</w:t>
      </w:r>
    </w:p>
    <w:p>
      <w:r>
        <w:rPr>
          <w:rFonts w:ascii="Times New Roman" w:hAnsi="Times New Roman"/>
          <w:b/>
          <w:i w:val="0"/>
          <w:sz w:val="20"/>
        </w:rPr>
        <w:t>The observable proxy.</w:t>
      </w:r>
      <w:r>
        <w:rPr>
          <w:rFonts w:ascii="Times New Roman" w:hAnsi="Times New Roman"/>
          <w:b w:val="0"/>
          <w:i w:val="0"/>
          <w:sz w:val="20"/>
        </w:rPr>
        <w:t xml:space="preserve"> For each instance i, take a_i, the pixels inside its annotation box </w:t>
      </w:r>
      <w:r>
        <w:rPr>
          <w:rFonts w:ascii="Times New Roman" w:hAnsi="Times New Roman"/>
          <w:b/>
          <w:i w:val="0"/>
          <w:sz w:val="20"/>
        </w:rPr>
        <w:t>not covered by another instance's box</w:t>
      </w:r>
      <w:r>
        <w:rPr>
          <w:rFonts w:ascii="Times New Roman" w:hAnsi="Times New Roman"/>
          <w:b w:val="0"/>
          <w:i w:val="0"/>
          <w:sz w:val="20"/>
        </w:rPr>
        <w:t xml:space="preserve">; the image-level proxy is the median over instances, p = median_i a_i (Appendix C.1). It is deliberately simple — no model, no inference, no confidence signal — and its usefulness is demonstrated rather than assumed: as a selector it reaches </w:t>
      </w:r>
      <w:r>
        <w:rPr>
          <w:rFonts w:ascii="Times New Roman" w:hAnsi="Times New Roman"/>
          <w:b/>
          <w:i w:val="0"/>
          <w:sz w:val="20"/>
        </w:rPr>
        <w:t>AUC 0.753–0.786</w:t>
      </w:r>
      <w:r>
        <w:rPr>
          <w:rFonts w:ascii="Times New Roman" w:hAnsi="Times New Roman"/>
          <w:b w:val="0"/>
          <w:i w:val="0"/>
          <w:sz w:val="20"/>
        </w:rPr>
        <w:t xml:space="preserve">, and keeping the most legible 20% of images cuts MAE by </w:t>
      </w:r>
      <w:r>
        <w:rPr>
          <w:rFonts w:ascii="Times New Roman" w:hAnsi="Times New Roman"/>
          <w:b/>
          <w:i w:val="0"/>
          <w:sz w:val="20"/>
        </w:rPr>
        <w:t>31–66%</w:t>
      </w:r>
      <w:r>
        <w:rPr>
          <w:rFonts w:ascii="Times New Roman" w:hAnsi="Times New Roman"/>
          <w:b w:val="0"/>
          <w:i w:val="0"/>
          <w:sz w:val="20"/>
        </w:rPr>
        <w:t xml:space="preserve"> while attenuating the relative deviation only from </w:t>
      </w:r>
      <w:r>
        <w:rPr>
          <w:rFonts w:ascii="Times New Roman" w:hAnsi="Times New Roman"/>
          <w:b/>
          <w:i w:val="0"/>
          <w:sz w:val="20"/>
        </w:rPr>
        <w:t>−85.0%</w:t>
      </w:r>
      <w:r>
        <w:rPr>
          <w:rFonts w:ascii="Times New Roman" w:hAnsi="Times New Roman"/>
          <w:b w:val="0"/>
          <w:i w:val="0"/>
          <w:sz w:val="20"/>
        </w:rPr>
        <w:t xml:space="preserve"> to </w:t>
      </w:r>
      <w:r>
        <w:rPr>
          <w:rFonts w:ascii="Times New Roman" w:hAnsi="Times New Roman"/>
          <w:b/>
          <w:i w:val="0"/>
          <w:sz w:val="20"/>
        </w:rPr>
        <w:t>−53.4%</w:t>
      </w:r>
      <w:r>
        <w:rPr>
          <w:rFonts w:ascii="Times New Roman" w:hAnsi="Times New Roman"/>
          <w:b w:val="0"/>
          <w:i w:val="0"/>
          <w:sz w:val="20"/>
        </w:rPr>
        <w:t xml:space="preserve"> (§7.1) — an ordering usable </w:t>
      </w:r>
      <w:r>
        <w:rPr>
          <w:rFonts w:ascii="Times New Roman" w:hAnsi="Times New Roman"/>
          <w:b/>
          <w:i w:val="0"/>
          <w:sz w:val="20"/>
        </w:rPr>
        <w:t>before inference</w:t>
      </w:r>
      <w:r>
        <w:rPr>
          <w:rFonts w:ascii="Times New Roman" w:hAnsi="Times New Roman"/>
          <w:b w:val="0"/>
          <w:i w:val="0"/>
          <w:sz w:val="20"/>
        </w:rPr>
        <w:t>, not a repair of the direction.</w:t>
      </w:r>
    </w:p>
    <w:p>
      <w:r>
        <w:rPr>
          <w:rFonts w:ascii="Times New Roman" w:hAnsi="Times New Roman"/>
          <w:b/>
          <w:i w:val="0"/>
          <w:sz w:val="20"/>
        </w:rPr>
        <w:t>Boundaries — what this variable is and is not.</w:t>
      </w:r>
      <w:r>
        <w:rPr>
          <w:rFonts w:ascii="Times New Roman" w:hAnsi="Times New Roman"/>
          <w:b w:val="0"/>
          <w:i w:val="0"/>
          <w:sz w:val="20"/>
        </w:rPr>
        <w:t xml:space="preserve"> Legibility is a </w:t>
      </w:r>
      <w:r>
        <w:rPr>
          <w:rFonts w:ascii="Times New Roman" w:hAnsi="Times New Roman"/>
          <w:b/>
          <w:i w:val="0"/>
          <w:sz w:val="20"/>
        </w:rPr>
        <w:t>secondary, stratifying variable</w:t>
      </w:r>
      <w:r>
        <w:rPr>
          <w:rFonts w:ascii="Times New Roman" w:hAnsi="Times New Roman"/>
          <w:b w:val="0"/>
          <w:i w:val="0"/>
          <w:sz w:val="20"/>
        </w:rPr>
        <w:t xml:space="preserve"> here, and its use is bounded accordingly. It supports </w:t>
      </w:r>
      <w:r>
        <w:rPr>
          <w:rFonts w:ascii="Times New Roman" w:hAnsi="Times New Roman"/>
          <w:b/>
          <w:i w:val="0"/>
          <w:sz w:val="20"/>
        </w:rPr>
        <w:t>stratification, ranking and selective prediction</w:t>
      </w:r>
      <w:r>
        <w:rPr>
          <w:rFonts w:ascii="Times New Roman" w:hAnsi="Times New Roman"/>
          <w:b w:val="0"/>
          <w:i w:val="0"/>
          <w:sz w:val="20"/>
        </w:rPr>
        <w:t xml:space="preserve">; it is </w:t>
      </w:r>
      <w:r>
        <w:rPr>
          <w:rFonts w:ascii="Times New Roman" w:hAnsi="Times New Roman"/>
          <w:b/>
          <w:i w:val="0"/>
          <w:sz w:val="20"/>
        </w:rPr>
        <w:t>not</w:t>
      </w:r>
      <w:r>
        <w:rPr>
          <w:rFonts w:ascii="Times New Roman" w:hAnsi="Times New Roman"/>
          <w:b w:val="0"/>
          <w:i w:val="0"/>
          <w:sz w:val="20"/>
        </w:rPr>
        <w:t xml:space="preserve"> a sufficient statistic, must </w:t>
      </w:r>
      <w:r>
        <w:rPr>
          <w:rFonts w:ascii="Times New Roman" w:hAnsi="Times New Roman"/>
          <w:b/>
          <w:i w:val="0"/>
          <w:sz w:val="20"/>
        </w:rPr>
        <w:t>not</w:t>
      </w:r>
      <w:r>
        <w:rPr>
          <w:rFonts w:ascii="Times New Roman" w:hAnsi="Times New Roman"/>
          <w:b w:val="0"/>
          <w:i w:val="0"/>
          <w:sz w:val="20"/>
        </w:rPr>
        <w:t xml:space="preserve"> be compared across scales directly, and must not be read as "more pixels is always better". Because it is defined on annotation boxes it is </w:t>
      </w:r>
      <w:r>
        <w:rPr>
          <w:rFonts w:ascii="Times New Roman" w:hAnsi="Times New Roman"/>
          <w:b/>
          <w:i w:val="0"/>
          <w:sz w:val="20"/>
        </w:rPr>
        <w:t>not</w:t>
      </w:r>
      <w:r>
        <w:rPr>
          <w:rFonts w:ascii="Times New Roman" w:hAnsi="Times New Roman"/>
          <w:b w:val="0"/>
          <w:i w:val="0"/>
          <w:sz w:val="20"/>
        </w:rPr>
        <w:t xml:space="preserve"> a deployment-time decision rule, and the obvious annotation-free substitute — the </w:t>
      </w:r>
      <w:r>
        <w:rPr>
          <w:rFonts w:ascii="Times New Roman" w:hAnsi="Times New Roman"/>
          <w:b w:val="0"/>
          <w:i/>
          <w:sz w:val="20"/>
        </w:rPr>
        <w:t>same</w:t>
      </w:r>
      <w:r>
        <w:rPr>
          <w:rFonts w:ascii="Times New Roman" w:hAnsi="Times New Roman"/>
          <w:b w:val="0"/>
          <w:i w:val="0"/>
          <w:sz w:val="20"/>
        </w:rPr>
        <w:t xml:space="preserve"> functional form on </w:t>
      </w:r>
      <w:r>
        <w:rPr>
          <w:rFonts w:ascii="Times New Roman" w:hAnsi="Times New Roman"/>
          <w:b/>
          <w:i w:val="0"/>
          <w:sz w:val="20"/>
        </w:rPr>
        <w:t>detector</w:t>
      </w:r>
      <w:r>
        <w:rPr>
          <w:rFonts w:ascii="Times New Roman" w:hAnsi="Times New Roman"/>
          <w:b w:val="0"/>
          <w:i w:val="0"/>
          <w:sz w:val="20"/>
        </w:rPr>
        <w:t xml:space="preserve"> boxes — does not inherit its power (AUC </w:t>
      </w:r>
      <w:r>
        <w:rPr>
          <w:rFonts w:ascii="Times New Roman" w:hAnsi="Times New Roman"/>
          <w:b/>
          <w:i w:val="0"/>
          <w:sz w:val="20"/>
        </w:rPr>
        <w:t>0.49–0.63</w:t>
      </w:r>
      <w:r>
        <w:rPr>
          <w:rFonts w:ascii="Times New Roman" w:hAnsi="Times New Roman"/>
          <w:b w:val="0"/>
          <w:i w:val="0"/>
          <w:sz w:val="20"/>
        </w:rPr>
        <w:t xml:space="preserve">; M.20). It is also </w:t>
      </w:r>
      <w:r>
        <w:rPr>
          <w:rFonts w:ascii="Times New Roman" w:hAnsi="Times New Roman"/>
          <w:b/>
          <w:i w:val="0"/>
          <w:sz w:val="20"/>
        </w:rPr>
        <w:t>not</w:t>
      </w:r>
      <w:r>
        <w:rPr>
          <w:rFonts w:ascii="Times New Roman" w:hAnsi="Times New Roman"/>
          <w:b w:val="0"/>
          <w:i w:val="0"/>
          <w:sz w:val="20"/>
        </w:rPr>
        <w:t xml:space="preserve"> an attention map or a confidence, and </w:t>
      </w:r>
      <w:r>
        <w:rPr>
          <w:rFonts w:ascii="Times New Roman" w:hAnsi="Times New Roman"/>
          <w:b/>
          <w:i w:val="0"/>
          <w:sz w:val="20"/>
        </w:rPr>
        <w:t>not</w:t>
      </w:r>
      <w:r>
        <w:rPr>
          <w:rFonts w:ascii="Times New Roman" w:hAnsi="Times New Roman"/>
          <w:b w:val="0"/>
          <w:i w:val="0"/>
          <w:sz w:val="20"/>
        </w:rPr>
        <w:t xml:space="preserve"> OPM, whose cross-domain Spearman correlation is only </w:t>
      </w:r>
      <w:r>
        <w:rPr>
          <w:rFonts w:ascii="Times New Roman" w:hAnsi="Times New Roman"/>
          <w:b/>
          <w:i w:val="0"/>
          <w:sz w:val="20"/>
        </w:rPr>
        <w:t>+0.33</w:t>
      </w:r>
      <w:r>
        <w:rPr>
          <w:rFonts w:ascii="Times New Roman" w:hAnsi="Times New Roman"/>
          <w:b w:val="0"/>
          <w:i w:val="0"/>
          <w:sz w:val="20"/>
        </w:rPr>
        <w:t xml:space="preserve"> (§7.1).</w:t>
      </w:r>
    </w:p>
    <w:p>
      <w:pPr>
        <w:pStyle w:val="Heading3"/>
      </w:pPr>
      <w:r>
        <w:rPr>
          <w:rFonts w:ascii="Times New Roman" w:hAnsi="Times New Roman"/>
          <w:b/>
          <w:i w:val="0"/>
          <w:sz w:val="20"/>
        </w:rPr>
        <w:t>3.4 Datasets and scene characteristics</w:t>
      </w:r>
    </w:p>
    <w:p>
      <w:r>
        <w:rPr>
          <w:rFonts w:ascii="Times New Roman" w:hAnsi="Times New Roman"/>
          <w:b w:val="0"/>
          <w:i w:val="0"/>
          <w:sz w:val="20"/>
        </w:rPr>
        <w:t>FSC-147 is the counting-anything benchmark of Ranjan et al. [7]; CountQA [30] and PushupBench [31] are the corresponding VLM-counting benchmarks.</w:t>
      </w:r>
    </w:p>
    <w:p>
      <w:r>
        <w:rPr>
          <w:rFonts w:ascii="Times New Roman" w:hAnsi="Times New Roman"/>
          <w:b w:val="0"/>
          <w:i w:val="0"/>
          <w:sz w:val="20"/>
        </w:rPr>
        <w:t xml:space="preserve">Nine datasets are characterised on </w:t>
      </w:r>
      <w:r>
        <w:rPr>
          <w:rFonts w:ascii="Times New Roman" w:hAnsi="Times New Roman"/>
          <w:b/>
          <w:i w:val="0"/>
          <w:sz w:val="20"/>
        </w:rPr>
        <w:t>two</w:t>
      </w:r>
      <w:r>
        <w:rPr>
          <w:rFonts w:ascii="Times New Roman" w:hAnsi="Times New Roman"/>
          <w:b w:val="0"/>
          <w:i w:val="0"/>
          <w:sz w:val="20"/>
        </w:rPr>
        <w:t xml:space="preserve"> axes — the count axis (OPM) </w:t>
      </w:r>
      <w:r>
        <w:rPr>
          <w:rFonts w:ascii="Times New Roman" w:hAnsi="Times New Roman"/>
          <w:b/>
          <w:i w:val="0"/>
          <w:sz w:val="20"/>
        </w:rPr>
        <w:t>and</w:t>
      </w:r>
      <w:r>
        <w:rPr>
          <w:rFonts w:ascii="Times New Roman" w:hAnsi="Times New Roman"/>
          <w:b w:val="0"/>
          <w:i w:val="0"/>
          <w:sz w:val="20"/>
        </w:rPr>
        <w:t xml:space="preserve"> the legibility axis (Appendix D.3); OPM is used for </w:t>
      </w:r>
      <w:r>
        <w:rPr>
          <w:rFonts w:ascii="Times New Roman" w:hAnsi="Times New Roman"/>
          <w:b/>
          <w:i w:val="0"/>
          <w:sz w:val="20"/>
        </w:rPr>
        <w:t>characterisation only</w:t>
      </w:r>
      <w:r>
        <w:rPr>
          <w:rFonts w:ascii="Times New Roman" w:hAnsi="Times New Roman"/>
          <w:b w:val="0"/>
          <w:i w:val="0"/>
          <w:sz w:val="20"/>
        </w:rPr>
        <w:t xml:space="preserve">, since §7.1 shows it is not a legibility-consistent gate. What matters for the central claim: VisDrone [32] and AI-TOD [33] have the </w:t>
      </w:r>
      <w:r>
        <w:rPr>
          <w:rFonts w:ascii="Times New Roman" w:hAnsi="Times New Roman"/>
          <w:b/>
          <w:i w:val="0"/>
          <w:sz w:val="20"/>
        </w:rPr>
        <w:t>lowest</w:t>
      </w:r>
      <w:r>
        <w:rPr>
          <w:rFonts w:ascii="Times New Roman" w:hAnsi="Times New Roman"/>
          <w:b w:val="0"/>
          <w:i w:val="0"/>
          <w:sz w:val="20"/>
        </w:rPr>
        <w:t xml:space="preserve"> targets-per-image (17–22) yet abstain </w:t>
      </w:r>
      <w:r>
        <w:rPr>
          <w:rFonts w:ascii="Times New Roman" w:hAnsi="Times New Roman"/>
          <w:b/>
          <w:i w:val="0"/>
          <w:sz w:val="20"/>
        </w:rPr>
        <w:t>as often as</w:t>
      </w:r>
      <w:r>
        <w:rPr>
          <w:rFonts w:ascii="Times New Roman" w:hAnsi="Times New Roman"/>
          <w:b w:val="0"/>
          <w:i w:val="0"/>
          <w:sz w:val="20"/>
        </w:rPr>
        <w:t xml:space="preserve"> ShanghaiTech-A (433), 68% vs. 57% (</w:t>
      </w:r>
      <w:r>
        <w:rPr>
          <w:rFonts w:ascii="Times New Roman" w:hAnsi="Times New Roman"/>
          <w:b/>
          <w:i w:val="0"/>
          <w:sz w:val="20"/>
        </w:rPr>
        <w:t>Proposition 6</w:t>
      </w:r>
      <w:r>
        <w:rPr>
          <w:rFonts w:ascii="Times New Roman" w:hAnsi="Times New Roman"/>
          <w:b w:val="0"/>
          <w:i w:val="0"/>
          <w:sz w:val="20"/>
        </w:rPr>
        <w:t>).</w:t>
      </w:r>
    </w:p>
    <w:p>
      <w:pPr>
        <w:pStyle w:val="Heading3"/>
      </w:pPr>
      <w:r>
        <w:rPr>
          <w:rFonts w:ascii="Times New Roman" w:hAnsi="Times New Roman"/>
          <w:b/>
          <w:i w:val="0"/>
          <w:sz w:val="20"/>
        </w:rPr>
        <w:t>3.5 Implementations</w:t>
      </w:r>
    </w:p>
    <w:p>
      <w:r>
        <w:rPr>
          <w:rFonts w:ascii="Times New Roman" w:hAnsi="Times New Roman"/>
          <w:b/>
          <w:i w:val="0"/>
          <w:sz w:val="20"/>
        </w:rPr>
        <w:t>Detection:</w:t>
      </w:r>
      <w:r>
        <w:rPr>
          <w:rFonts w:ascii="Times New Roman" w:hAnsi="Times New Roman"/>
          <w:b w:val="0"/>
          <w:i w:val="0"/>
          <w:sz w:val="20"/>
        </w:rPr>
        <w:t xml:space="preserve"> YOLOv12n [34] (tiling follows SAHI [35]) with nine variants plus budget × source-domain combinations, zero-shot COCO [36] person detectors under a tiling protocol for the dense end, and two label conventions; Faster R-CNN [37] and RetinaNet [38] supply a second and third family (fairness parameters in D.2; M.11). </w:t>
      </w:r>
      <w:r>
        <w:rPr>
          <w:rFonts w:ascii="Times New Roman" w:hAnsi="Times New Roman"/>
          <w:b/>
          <w:i w:val="0"/>
          <w:sz w:val="20"/>
        </w:rPr>
        <w:t>Vision-language models:</w:t>
      </w:r>
      <w:r>
        <w:rPr>
          <w:rFonts w:ascii="Times New Roman" w:hAnsi="Times New Roman"/>
          <w:b w:val="0"/>
          <w:i w:val="0"/>
          <w:sz w:val="20"/>
        </w:rPr>
        <w:t xml:space="preserve"> </w:t>
      </w:r>
      <w:r>
        <w:rPr>
          <w:rFonts w:ascii="Times New Roman" w:hAnsi="Times New Roman"/>
          <w:b/>
          <w:i w:val="0"/>
          <w:sz w:val="20"/>
        </w:rPr>
        <w:t>Qwen3-VL-32B-Instruct</w:t>
      </w:r>
      <w:r>
        <w:rPr>
          <w:rFonts w:ascii="Times New Roman" w:hAnsi="Times New Roman"/>
          <w:b w:val="0"/>
          <w:i w:val="0"/>
          <w:sz w:val="20"/>
        </w:rPr>
        <w:t xml:space="preserve"> [39] on a self-hosted 4-bit AWQ [40] </w:t>
      </w:r>
      <w:r>
        <w:rPr>
          <w:rFonts w:ascii="Times New Roman" w:hAnsi="Times New Roman"/>
          <w:b/>
          <w:i w:val="0"/>
          <w:sz w:val="20"/>
        </w:rPr>
        <w:t>community requantisation</w:t>
      </w:r>
      <w:r>
        <w:rPr>
          <w:rFonts w:ascii="Times New Roman" w:hAnsi="Times New Roman"/>
          <w:b w:val="0"/>
          <w:i w:val="0"/>
          <w:sz w:val="20"/>
        </w:rPr>
        <w:t xml:space="preserve"> (</w:t>
      </w:r>
      <w:r>
        <w:rPr>
          <w:rFonts w:ascii="Times New Roman" w:hAnsi="Times New Roman"/>
          <w:b w:val="0"/>
          <w:i/>
          <w:sz w:val="20"/>
        </w:rPr>
        <w:t>cyankiwi/Qwen3-VL-32B-Instruct-AWQ-4bit</w:t>
      </w:r>
      <w:r>
        <w:rPr>
          <w:rFonts w:ascii="Times New Roman" w:hAnsi="Times New Roman"/>
          <w:b w:val="0"/>
          <w:i w:val="0"/>
          <w:sz w:val="20"/>
        </w:rPr>
        <w:t xml:space="preserve">; Appendix M.46) and GPTQ-W4 [41] stacks cross-checked against a BF16 hosted API, with an 8B scale control, a Qwen2.5-VL-7B [42] generation control and InternVL2.5-8B [6] as a second lineage; three directional arms use </w:t>
      </w:r>
      <w:r>
        <w:rPr>
          <w:rFonts w:ascii="Times New Roman" w:hAnsi="Times New Roman"/>
          <w:b/>
          <w:i w:val="0"/>
          <w:sz w:val="20"/>
        </w:rPr>
        <w:t>byte-identical prompts across datasets</w:t>
      </w:r>
      <w:r>
        <w:rPr>
          <w:rFonts w:ascii="Times New Roman" w:hAnsi="Times New Roman"/>
          <w:b w:val="0"/>
          <w:i w:val="0"/>
          <w:sz w:val="20"/>
        </w:rPr>
        <w:t xml:space="preserve">, plus five prompt families and a seven-level prompt-strength dose, with </w:t>
      </w:r>
      <w:r>
        <w:rPr>
          <w:rFonts w:ascii="Times New Roman" w:hAnsi="Times New Roman"/>
          <w:b/>
          <w:i w:val="0"/>
          <w:sz w:val="20"/>
        </w:rPr>
        <w:t>Chinese</w:t>
      </w:r>
      <w:r>
        <w:rPr>
          <w:rFonts w:ascii="Times New Roman" w:hAnsi="Times New Roman"/>
          <w:b w:val="0"/>
          <w:i w:val="0"/>
          <w:sz w:val="20"/>
        </w:rPr>
        <w:t xml:space="preserve"> corpus prompts (language control: §5.5). </w:t>
      </w:r>
      <w:r>
        <w:rPr>
          <w:rFonts w:ascii="Times New Roman" w:hAnsi="Times New Roman"/>
          <w:b/>
          <w:i w:val="0"/>
          <w:sz w:val="20"/>
        </w:rPr>
        <w:t>Density regression:</w:t>
      </w:r>
      <w:r>
        <w:rPr>
          <w:rFonts w:ascii="Times New Roman" w:hAnsi="Times New Roman"/>
          <w:b w:val="0"/>
          <w:i w:val="0"/>
          <w:sz w:val="20"/>
        </w:rPr>
        <w:t xml:space="preserve"> BL [43], CSRNet [44] and DM-Count [45] trained on SFCHD [18], with public in-domain weights for the dense end.</w:t>
      </w:r>
    </w:p>
    <w:p>
      <w:pPr>
        <w:pStyle w:val="Heading3"/>
      </w:pPr>
      <w:r>
        <w:rPr>
          <w:rFonts w:ascii="Times New Roman" w:hAnsi="Times New Roman"/>
          <w:b/>
          <w:i w:val="0"/>
          <w:sz w:val="20"/>
        </w:rPr>
        <w:t>3.6 Abstention: operationalisation and lineage stratification</w:t>
      </w:r>
    </w:p>
    <w:p>
      <w:r>
        <w:rPr>
          <w:rFonts w:ascii="Times New Roman" w:hAnsi="Times New Roman"/>
          <w:b w:val="0"/>
          <w:i w:val="0"/>
          <w:sz w:val="20"/>
        </w:rPr>
        <w:t>Abstention is our leading indicator, so its operationalisation is stated item by item. Three points matter here.</w:t>
      </w:r>
    </w:p>
    <w:p>
      <w:r>
        <w:rPr>
          <w:rFonts w:ascii="Times New Roman" w:hAnsi="Times New Roman"/>
          <w:b/>
          <w:i w:val="0"/>
          <w:sz w:val="20"/>
        </w:rPr>
        <w:t>(a) Five mutually exclusive classes</w:t>
      </w:r>
      <w:r>
        <w:rPr>
          <w:rFonts w:ascii="Times New Roman" w:hAnsi="Times New Roman"/>
          <w:b w:val="0"/>
          <w:i w:val="0"/>
          <w:sz w:val="20"/>
        </w:rPr>
        <w:t xml:space="preserve"> — </w:t>
      </w:r>
      <w:r>
        <w:rPr>
          <w:rFonts w:ascii="Times New Roman" w:hAnsi="Times New Roman"/>
          <w:b w:val="0"/>
          <w:i/>
          <w:sz w:val="20"/>
        </w:rPr>
        <w:t>normal</w:t>
      </w:r>
      <w:r>
        <w:rPr>
          <w:rFonts w:ascii="Times New Roman" w:hAnsi="Times New Roman"/>
          <w:b w:val="0"/>
          <w:i w:val="0"/>
          <w:sz w:val="20"/>
        </w:rPr>
        <w:t xml:space="preserve">, </w:t>
      </w:r>
      <w:r>
        <w:rPr>
          <w:rFonts w:ascii="Times New Roman" w:hAnsi="Times New Roman"/>
          <w:b w:val="0"/>
          <w:i/>
          <w:sz w:val="20"/>
        </w:rPr>
        <w:t>answer_zero</w:t>
      </w:r>
      <w:r>
        <w:rPr>
          <w:rFonts w:ascii="Times New Roman" w:hAnsi="Times New Roman"/>
          <w:b w:val="0"/>
          <w:i w:val="0"/>
          <w:sz w:val="20"/>
        </w:rPr>
        <w:t xml:space="preserve">, </w:t>
      </w:r>
      <w:r>
        <w:rPr>
          <w:rFonts w:ascii="Times New Roman" w:hAnsi="Times New Roman"/>
          <w:b w:val="0"/>
          <w:i/>
          <w:sz w:val="20"/>
        </w:rPr>
        <w:t>refuse</w:t>
      </w:r>
      <w:r>
        <w:rPr>
          <w:rFonts w:ascii="Times New Roman" w:hAnsi="Times New Roman"/>
          <w:b w:val="0"/>
          <w:i w:val="0"/>
          <w:sz w:val="20"/>
        </w:rPr>
        <w:t xml:space="preserve">, </w:t>
      </w:r>
      <w:r>
        <w:rPr>
          <w:rFonts w:ascii="Times New Roman" w:hAnsi="Times New Roman"/>
          <w:b w:val="0"/>
          <w:i/>
          <w:sz w:val="20"/>
        </w:rPr>
        <w:t>format_drift</w:t>
      </w:r>
      <w:r>
        <w:rPr>
          <w:rFonts w:ascii="Times New Roman" w:hAnsi="Times New Roman"/>
          <w:b w:val="0"/>
          <w:i w:val="0"/>
          <w:sz w:val="20"/>
        </w:rPr>
        <w:t xml:space="preserve">, </w:t>
      </w:r>
      <w:r>
        <w:rPr>
          <w:rFonts w:ascii="Times New Roman" w:hAnsi="Times New Roman"/>
          <w:b w:val="0"/>
          <w:i/>
          <w:sz w:val="20"/>
        </w:rPr>
        <w:t>api_error</w:t>
      </w:r>
      <w:r>
        <w:rPr>
          <w:rFonts w:ascii="Times New Roman" w:hAnsi="Times New Roman"/>
          <w:b w:val="0"/>
          <w:i w:val="0"/>
          <w:sz w:val="20"/>
        </w:rPr>
        <w:t xml:space="preserve"> — with </w:t>
      </w:r>
      <w:r>
        <w:rPr>
          <w:rFonts w:ascii="Times New Roman" w:hAnsi="Times New Roman"/>
          <w:b w:val="0"/>
          <w:i/>
          <w:sz w:val="20"/>
        </w:rPr>
        <w:t>api_error</w:t>
      </w:r>
      <w:r>
        <w:rPr>
          <w:rFonts w:ascii="Times New Roman" w:hAnsi="Times New Roman"/>
          <w:b w:val="0"/>
          <w:i w:val="0"/>
          <w:sz w:val="20"/>
        </w:rPr>
        <w:t xml:space="preserve"> excluded from the denominator. </w:t>
      </w:r>
      <w:r>
        <w:rPr>
          <w:rFonts w:ascii="Times New Roman" w:hAnsi="Times New Roman"/>
          <w:b/>
          <w:i w:val="0"/>
          <w:sz w:val="20"/>
        </w:rPr>
        <w:t>(b) De-duplication</w:t>
      </w:r>
      <w:r>
        <w:rPr>
          <w:rFonts w:ascii="Times New Roman" w:hAnsi="Times New Roman"/>
          <w:b w:val="0"/>
          <w:i w:val="0"/>
          <w:sz w:val="20"/>
        </w:rPr>
        <w:t xml:space="preserve"> at file level (MD5) and at row level by </w:t>
      </w:r>
      <w:r>
        <w:rPr>
          <w:rFonts w:ascii="Times New Roman" w:hAnsi="Times New Roman"/>
          <w:b/>
          <w:i w:val="0"/>
          <w:sz w:val="20"/>
        </w:rPr>
        <w:t>identity of the experimental condition</w:t>
      </w:r>
      <w:r>
        <w:rPr>
          <w:rFonts w:ascii="Times New Roman" w:hAnsi="Times New Roman"/>
          <w:b w:val="0"/>
          <w:i w:val="0"/>
          <w:sz w:val="20"/>
        </w:rPr>
        <w:t xml:space="preserve">, </w:t>
      </w:r>
      <w:r>
        <w:rPr>
          <w:rFonts w:ascii="Times New Roman" w:hAnsi="Times New Roman"/>
          <w:b/>
          <w:i w:val="0"/>
          <w:sz w:val="20"/>
        </w:rPr>
        <w:t>not</w:t>
      </w:r>
      <w:r>
        <w:rPr>
          <w:rFonts w:ascii="Times New Roman" w:hAnsi="Times New Roman"/>
          <w:b w:val="0"/>
          <w:i w:val="0"/>
          <w:sz w:val="20"/>
        </w:rPr>
        <w:t xml:space="preserve"> by item. The class criteria, the de-duplication protocol and the per-tile parsing of concatenated </w:t>
      </w:r>
      <w:r>
        <w:rPr>
          <w:rFonts w:ascii="Times New Roman" w:hAnsi="Times New Roman"/>
          <w:b w:val="0"/>
          <w:i/>
          <w:sz w:val="20"/>
        </w:rPr>
        <w:t>raw</w:t>
      </w:r>
      <w:r>
        <w:rPr>
          <w:rFonts w:ascii="Times New Roman" w:hAnsi="Times New Roman"/>
          <w:b w:val="0"/>
          <w:i w:val="0"/>
          <w:sz w:val="20"/>
        </w:rPr>
        <w:t xml:space="preserve"> fields are given in Appendix B.1–B.2, with a compact table of what each observable licenses.</w:t>
      </w:r>
    </w:p>
    <w:p>
      <w:r>
        <w:rPr>
          <w:rFonts w:ascii="Times New Roman" w:hAnsi="Times New Roman"/>
          <w:b/>
          <w:i w:val="0"/>
          <w:sz w:val="20"/>
        </w:rPr>
        <w:t>(c) Is `pred = 0` a sufficient operationalisation? A two-lineage answer (the two lineages for which the ratio is measured).</w:t>
      </w:r>
      <w:r>
        <w:rPr>
          <w:rFonts w:ascii="Times New Roman" w:hAnsi="Times New Roman"/>
          <w:b w:val="0"/>
          <w:i w:val="0"/>
          <w:sz w:val="20"/>
        </w:rPr>
        <w:t xml:space="preserve"> The criterion is empirical: a lineage that abstained mainly in natural language would show a low ratio of answered-zero to textual refusal, approaching 0, and </w:t>
      </w:r>
      <w:r>
        <w:rPr>
          <w:rFonts w:ascii="Times New Roman" w:hAnsi="Times New Roman"/>
          <w:b/>
          <w:i w:val="0"/>
          <w:sz w:val="20"/>
        </w:rPr>
        <w:t>the lower that ratio, the larger the identification error 1/(κ+1) of Proposition 7</w:t>
      </w:r>
      <w:r>
        <w:rPr>
          <w:rFonts w:ascii="Times New Roman" w:hAnsi="Times New Roman"/>
          <w:b w:val="0"/>
          <w:i w:val="0"/>
          <w:sz w:val="20"/>
        </w:rPr>
        <w:t>. Over the whole corpus (892 result files, ~620k records):</w:t>
      </w:r>
    </w:p>
    <w:p>
      <w:r>
        <w:rPr>
          <w:rFonts w:ascii="Times New Roman" w:hAnsi="Times New Roman"/>
          <w:b/>
          <w:i w:val="0"/>
          <w:sz w:val="20"/>
        </w:rPr>
        <w:t>Table 2.</w:t>
      </w:r>
      <w:r>
        <w:rPr>
          <w:rFonts w:ascii="Times New Roman" w:hAnsi="Times New Roman"/>
          <w:b w:val="0"/>
          <w:i w:val="0"/>
          <w:sz w:val="20"/>
        </w:rPr>
        <w:t xml:space="preserve"> Lineage-stratified abstention channel (the table behind §3.6(c) and Proposition 1).</w:t>
      </w:r>
    </w:p>
    <w:tbl>
      <w:tblPr>
        <w:tblW w:type="auto" w:w="0"/>
        <w:tblLook w:firstColumn="1" w:firstRow="1" w:lastColumn="0" w:lastRow="0" w:noHBand="0" w:noVBand="1" w:val="04A0"/>
        <w:tblBorders>
          <w:top w:val="single" w:sz="4" w:color="000000"/>
          <w:bottom w:val="single" w:sz="4" w:color="000000"/>
          <w:insideH w:val="single" w:sz="4" w:color="000000"/>
          <w:left w:val="none" w:sz="0"/>
          <w:right w:val="none" w:sz="0"/>
          <w:insideV w:val="none" w:sz="0"/>
        </w:tblBorders>
      </w:tblPr>
      <w:tblGrid>
        <w:gridCol w:w="1293"/>
        <w:gridCol w:w="1293"/>
        <w:gridCol w:w="1293"/>
        <w:gridCol w:w="1293"/>
        <w:gridCol w:w="1293"/>
      </w:tblGrid>
      <w:tr>
        <w:tc>
          <w:tcPr>
            <w:tcW w:type="dxa" w:w="1293"/>
          </w:tcPr>
          <w:p>
            <w:pPr>
              <w:spacing w:line="240" w:lineRule="auto" w:after="0"/>
            </w:pPr>
            <w:r>
              <w:rPr>
                <w:rFonts w:ascii="Times New Roman" w:hAnsi="Times New Roman"/>
                <w:b/>
                <w:i w:val="0"/>
                <w:sz w:val="20"/>
              </w:rPr>
              <w:t>Lineage</w:t>
            </w:r>
          </w:p>
        </w:tc>
        <w:tc>
          <w:tcPr>
            <w:tcW w:type="dxa" w:w="1293"/>
          </w:tcPr>
          <w:p>
            <w:pPr>
              <w:spacing w:line="240" w:lineRule="auto" w:after="0"/>
            </w:pPr>
            <w:r>
              <w:rPr>
                <w:rFonts w:ascii="Times New Roman" w:hAnsi="Times New Roman"/>
                <w:b/>
                <w:i w:val="0"/>
                <w:sz w:val="20"/>
              </w:rPr>
              <w:t>Answered zero</w:t>
            </w:r>
          </w:p>
        </w:tc>
        <w:tc>
          <w:tcPr>
            <w:tcW w:type="dxa" w:w="1293"/>
          </w:tcPr>
          <w:p>
            <w:pPr>
              <w:spacing w:line="240" w:lineRule="auto" w:after="0"/>
            </w:pPr>
            <w:r>
              <w:rPr>
                <w:rFonts w:ascii="Times New Roman" w:hAnsi="Times New Roman"/>
                <w:b/>
                <w:i w:val="0"/>
                <w:sz w:val="20"/>
              </w:rPr>
              <w:t>Textual refusal</w:t>
            </w:r>
          </w:p>
        </w:tc>
        <w:tc>
          <w:tcPr>
            <w:tcW w:type="dxa" w:w="1293"/>
          </w:tcPr>
          <w:p>
            <w:pPr>
              <w:spacing w:line="240" w:lineRule="auto" w:after="0"/>
            </w:pPr>
            <w:r>
              <w:rPr>
                <w:rFonts w:ascii="Times New Roman" w:hAnsi="Times New Roman"/>
                <w:b/>
                <w:i w:val="0"/>
                <w:sz w:val="20"/>
              </w:rPr>
              <w:t>Ratio</w:t>
            </w:r>
          </w:p>
        </w:tc>
        <w:tc>
          <w:tcPr>
            <w:tcW w:type="dxa" w:w="1293"/>
          </w:tcPr>
          <w:p>
            <w:pPr>
              <w:spacing w:line="240" w:lineRule="auto" w:after="0"/>
            </w:pPr>
            <w:r>
              <w:rPr>
                <w:rFonts w:ascii="Times New Roman" w:hAnsi="Times New Roman"/>
                <w:b/>
                <w:i w:val="0"/>
                <w:sz w:val="20"/>
              </w:rPr>
              <w:t xml:space="preserve">Coverage by </w:t>
            </w:r>
            <w:r>
              <w:rPr>
                <w:rFonts w:ascii="Times New Roman" w:hAnsi="Times New Roman"/>
                <w:b/>
                <w:i/>
                <w:sz w:val="20"/>
              </w:rPr>
              <w:t>pred = 0</w:t>
            </w:r>
          </w:p>
        </w:tc>
      </w:tr>
      <w:tr>
        <w:tc>
          <w:tcPr>
            <w:tcW w:type="dxa" w:w="1293"/>
          </w:tcPr>
          <w:p>
            <w:pPr>
              <w:spacing w:line="240" w:lineRule="auto" w:after="0"/>
            </w:pPr>
            <w:r>
              <w:rPr>
                <w:rFonts w:ascii="Times New Roman" w:hAnsi="Times New Roman"/>
                <w:b w:val="0"/>
                <w:i w:val="0"/>
                <w:sz w:val="20"/>
              </w:rPr>
              <w:t>Qwen3-VL-32B [39]</w:t>
            </w:r>
          </w:p>
        </w:tc>
        <w:tc>
          <w:tcPr>
            <w:tcW w:type="dxa" w:w="1293"/>
          </w:tcPr>
          <w:p>
            <w:pPr>
              <w:spacing w:line="240" w:lineRule="auto" w:after="0"/>
            </w:pPr>
            <w:r>
              <w:rPr>
                <w:rFonts w:ascii="Times New Roman" w:hAnsi="Times New Roman"/>
                <w:b w:val="0"/>
                <w:i w:val="0"/>
                <w:sz w:val="20"/>
              </w:rPr>
              <w:t>31,387</w:t>
            </w:r>
          </w:p>
        </w:tc>
        <w:tc>
          <w:tcPr>
            <w:tcW w:type="dxa" w:w="1293"/>
          </w:tcPr>
          <w:p>
            <w:pPr>
              <w:spacing w:line="240" w:lineRule="auto" w:after="0"/>
            </w:pPr>
            <w:r>
              <w:rPr>
                <w:rFonts w:ascii="Times New Roman" w:hAnsi="Times New Roman"/>
                <w:b w:val="0"/>
                <w:i w:val="0"/>
                <w:sz w:val="20"/>
              </w:rPr>
              <w:t>57</w:t>
            </w:r>
          </w:p>
        </w:tc>
        <w:tc>
          <w:tcPr>
            <w:tcW w:type="dxa" w:w="1293"/>
          </w:tcPr>
          <w:p>
            <w:pPr>
              <w:spacing w:line="240" w:lineRule="auto" w:after="0"/>
            </w:pPr>
            <w:r>
              <w:rPr>
                <w:rFonts w:ascii="Times New Roman" w:hAnsi="Times New Roman"/>
                <w:b/>
                <w:i w:val="0"/>
                <w:sz w:val="20"/>
              </w:rPr>
              <w:t>550.6 : 1</w:t>
            </w:r>
          </w:p>
        </w:tc>
        <w:tc>
          <w:tcPr>
            <w:tcW w:type="dxa" w:w="1293"/>
          </w:tcPr>
          <w:p>
            <w:pPr>
              <w:spacing w:line="240" w:lineRule="auto" w:after="0"/>
            </w:pPr>
            <w:r>
              <w:rPr>
                <w:rFonts w:ascii="Times New Roman" w:hAnsi="Times New Roman"/>
                <w:b/>
                <w:i w:val="0"/>
                <w:sz w:val="20"/>
              </w:rPr>
              <w:t>99.82%</w:t>
            </w:r>
          </w:p>
        </w:tc>
      </w:tr>
      <w:tr>
        <w:tc>
          <w:tcPr>
            <w:tcW w:type="dxa" w:w="1293"/>
          </w:tcPr>
          <w:p>
            <w:pPr>
              <w:spacing w:line="240" w:lineRule="auto" w:after="0"/>
            </w:pPr>
            <w:r>
              <w:rPr>
                <w:rFonts w:ascii="Times New Roman" w:hAnsi="Times New Roman"/>
                <w:b w:val="0"/>
                <w:i w:val="0"/>
                <w:sz w:val="20"/>
              </w:rPr>
              <w:t>Qwen3-VL-8B</w:t>
            </w:r>
          </w:p>
        </w:tc>
        <w:tc>
          <w:tcPr>
            <w:tcW w:type="dxa" w:w="1293"/>
          </w:tcPr>
          <w:p>
            <w:pPr>
              <w:spacing w:line="240" w:lineRule="auto" w:after="0"/>
            </w:pPr>
            <w:r>
              <w:rPr>
                <w:rFonts w:ascii="Times New Roman" w:hAnsi="Times New Roman"/>
                <w:b w:val="0"/>
                <w:i w:val="0"/>
                <w:sz w:val="20"/>
              </w:rPr>
              <w:t>3,392</w:t>
            </w:r>
          </w:p>
        </w:tc>
        <w:tc>
          <w:tcPr>
            <w:tcW w:type="dxa" w:w="1293"/>
          </w:tcPr>
          <w:p>
            <w:pPr>
              <w:spacing w:line="240" w:lineRule="auto" w:after="0"/>
            </w:pPr>
            <w:r>
              <w:rPr>
                <w:rFonts w:ascii="Times New Roman" w:hAnsi="Times New Roman"/>
                <w:b w:val="0"/>
                <w:i w:val="0"/>
                <w:sz w:val="20"/>
              </w:rPr>
              <w:t>0</w:t>
            </w:r>
          </w:p>
        </w:tc>
        <w:tc>
          <w:tcPr>
            <w:tcW w:type="dxa" w:w="1293"/>
          </w:tcPr>
          <w:p>
            <w:pPr>
              <w:spacing w:line="240" w:lineRule="auto" w:after="0"/>
            </w:pPr>
            <w:r>
              <w:rPr>
                <w:rFonts w:ascii="Times New Roman" w:hAnsi="Times New Roman"/>
                <w:b w:val="0"/>
                <w:i w:val="0"/>
                <w:sz w:val="20"/>
              </w:rPr>
              <w:t>— (none)</w:t>
            </w:r>
          </w:p>
        </w:tc>
        <w:tc>
          <w:tcPr>
            <w:tcW w:type="dxa" w:w="1293"/>
          </w:tcPr>
          <w:p>
            <w:pPr>
              <w:spacing w:line="240" w:lineRule="auto" w:after="0"/>
            </w:pPr>
            <w:r>
              <w:rPr>
                <w:rFonts w:ascii="Times New Roman" w:hAnsi="Times New Roman"/>
                <w:b/>
                <w:i w:val="0"/>
                <w:sz w:val="20"/>
              </w:rPr>
              <w:t>100%</w:t>
            </w:r>
          </w:p>
        </w:tc>
      </w:tr>
      <w:tr>
        <w:tc>
          <w:tcPr>
            <w:tcW w:type="dxa" w:w="1293"/>
          </w:tcPr>
          <w:p>
            <w:pPr>
              <w:spacing w:line="240" w:lineRule="auto" w:after="0"/>
            </w:pPr>
            <w:r>
              <w:rPr>
                <w:rFonts w:ascii="Times New Roman" w:hAnsi="Times New Roman"/>
                <w:b w:val="0"/>
                <w:i w:val="0"/>
                <w:sz w:val="20"/>
              </w:rPr>
              <w:t>Qwen2.5-VL-7B</w:t>
            </w:r>
          </w:p>
        </w:tc>
        <w:tc>
          <w:tcPr>
            <w:tcW w:type="dxa" w:w="1293"/>
          </w:tcPr>
          <w:p>
            <w:pPr>
              <w:spacing w:line="240" w:lineRule="auto" w:after="0"/>
            </w:pPr>
            <w:r>
              <w:rPr>
                <w:rFonts w:ascii="Times New Roman" w:hAnsi="Times New Roman"/>
                <w:b w:val="0"/>
                <w:i w:val="0"/>
                <w:sz w:val="20"/>
              </w:rPr>
              <w:t>980</w:t>
            </w:r>
          </w:p>
        </w:tc>
        <w:tc>
          <w:tcPr>
            <w:tcW w:type="dxa" w:w="1293"/>
          </w:tcPr>
          <w:p>
            <w:pPr>
              <w:spacing w:line="240" w:lineRule="auto" w:after="0"/>
            </w:pPr>
            <w:r>
              <w:rPr>
                <w:rFonts w:ascii="Times New Roman" w:hAnsi="Times New Roman"/>
                <w:b w:val="0"/>
                <w:i w:val="0"/>
                <w:sz w:val="20"/>
              </w:rPr>
              <w:t>0</w:t>
            </w:r>
          </w:p>
        </w:tc>
        <w:tc>
          <w:tcPr>
            <w:tcW w:type="dxa" w:w="1293"/>
          </w:tcPr>
          <w:p>
            <w:pPr>
              <w:spacing w:line="240" w:lineRule="auto" w:after="0"/>
            </w:pPr>
            <w:r>
              <w:rPr>
                <w:rFonts w:ascii="Times New Roman" w:hAnsi="Times New Roman"/>
                <w:b w:val="0"/>
                <w:i w:val="0"/>
                <w:sz w:val="20"/>
              </w:rPr>
              <w:t>— (none)</w:t>
            </w:r>
          </w:p>
        </w:tc>
        <w:tc>
          <w:tcPr>
            <w:tcW w:type="dxa" w:w="1293"/>
          </w:tcPr>
          <w:p>
            <w:pPr>
              <w:spacing w:line="240" w:lineRule="auto" w:after="0"/>
            </w:pPr>
            <w:r>
              <w:rPr>
                <w:rFonts w:ascii="Times New Roman" w:hAnsi="Times New Roman"/>
                <w:b/>
                <w:i w:val="0"/>
                <w:sz w:val="20"/>
              </w:rPr>
              <w:t>100%</w:t>
            </w:r>
          </w:p>
        </w:tc>
      </w:tr>
      <w:tr>
        <w:tc>
          <w:tcPr>
            <w:tcW w:type="dxa" w:w="1293"/>
          </w:tcPr>
          <w:p>
            <w:pPr>
              <w:spacing w:line="240" w:lineRule="auto" w:after="0"/>
            </w:pPr>
            <w:r>
              <w:rPr>
                <w:rFonts w:ascii="Times New Roman" w:hAnsi="Times New Roman"/>
                <w:b/>
                <w:i w:val="0"/>
                <w:sz w:val="20"/>
              </w:rPr>
              <w:t>InternVL2.5-8B</w:t>
            </w:r>
          </w:p>
        </w:tc>
        <w:tc>
          <w:tcPr>
            <w:tcW w:type="dxa" w:w="1293"/>
          </w:tcPr>
          <w:p>
            <w:pPr>
              <w:spacing w:line="240" w:lineRule="auto" w:after="0"/>
            </w:pPr>
            <w:r>
              <w:rPr>
                <w:rFonts w:ascii="Times New Roman" w:hAnsi="Times New Roman"/>
                <w:b w:val="0"/>
                <w:i w:val="0"/>
                <w:sz w:val="20"/>
              </w:rPr>
              <w:t>14,015</w:t>
            </w:r>
          </w:p>
        </w:tc>
        <w:tc>
          <w:tcPr>
            <w:tcW w:type="dxa" w:w="1293"/>
          </w:tcPr>
          <w:p>
            <w:pPr>
              <w:spacing w:line="240" w:lineRule="auto" w:after="0"/>
            </w:pPr>
            <w:r>
              <w:rPr>
                <w:rFonts w:ascii="Times New Roman" w:hAnsi="Times New Roman"/>
                <w:b/>
                <w:i w:val="0"/>
                <w:sz w:val="20"/>
              </w:rPr>
              <w:t>6,096</w:t>
            </w:r>
          </w:p>
        </w:tc>
        <w:tc>
          <w:tcPr>
            <w:tcW w:type="dxa" w:w="1293"/>
          </w:tcPr>
          <w:p>
            <w:pPr>
              <w:spacing w:line="240" w:lineRule="auto" w:after="0"/>
            </w:pPr>
            <w:r>
              <w:rPr>
                <w:rFonts w:ascii="Times New Roman" w:hAnsi="Times New Roman"/>
                <w:b/>
                <w:i w:val="0"/>
                <w:sz w:val="20"/>
              </w:rPr>
              <w:t>2.3 : 1</w:t>
            </w:r>
          </w:p>
        </w:tc>
        <w:tc>
          <w:tcPr>
            <w:tcW w:type="dxa" w:w="1293"/>
          </w:tcPr>
          <w:p>
            <w:pPr>
              <w:spacing w:line="240" w:lineRule="auto" w:after="0"/>
            </w:pPr>
            <w:r>
              <w:rPr>
                <w:rFonts w:ascii="Times New Roman" w:hAnsi="Times New Roman"/>
                <w:b/>
                <w:i w:val="0"/>
                <w:sz w:val="20"/>
              </w:rPr>
              <w:t>69.69%</w:t>
            </w:r>
          </w:p>
        </w:tc>
      </w:tr>
    </w:tbl>
    <w:p/>
    <w:p>
      <w:r>
        <w:rPr>
          <w:rFonts w:ascii="Times New Roman" w:hAnsi="Times New Roman"/>
          <w:b/>
          <w:i w:val="0"/>
          <w:sz w:val="20"/>
        </w:rPr>
        <w:t xml:space="preserve">For the Qwen family — the source of all our abstention headlines — `pred = 0` covers </w:t>
      </w:r>
      <w:r>
        <w:rPr>
          <w:rFonts w:ascii="Times New Roman" w:hAnsi="Times New Roman"/>
          <w:b w:val="0"/>
          <w:i w:val="0"/>
          <w:sz w:val="20"/>
        </w:rPr>
        <w:t>99.82%</w:t>
      </w:r>
      <w:r>
        <w:rPr>
          <w:rFonts w:ascii="Times New Roman" w:hAnsi="Times New Roman"/>
          <w:b/>
          <w:i w:val="0"/>
          <w:sz w:val="20"/>
        </w:rPr>
        <w:t xml:space="preserve"> of them</w:t>
      </w:r>
      <w:r>
        <w:rPr>
          <w:rFonts w:ascii="Times New Roman" w:hAnsi="Times New Roman"/>
          <w:b w:val="0"/>
          <w:i w:val="0"/>
          <w:sz w:val="20"/>
        </w:rPr>
        <w:t xml:space="preserve"> (three configurations: 0.18%, 0% and 0%). </w:t>
      </w:r>
      <w:r>
        <w:rPr>
          <w:rFonts w:ascii="Times New Roman" w:hAnsi="Times New Roman"/>
          <w:b/>
          <w:i w:val="0"/>
          <w:sz w:val="20"/>
        </w:rPr>
        <w:t>For InternVL2.5-8B it covers only about seven tenths</w:t>
      </w:r>
      <w:r>
        <w:rPr>
          <w:rFonts w:ascii="Times New Roman" w:hAnsi="Times New Roman"/>
          <w:b w:val="0"/>
          <w:i w:val="0"/>
          <w:sz w:val="20"/>
        </w:rPr>
        <w:t xml:space="preserve">, the rest arriving as textual refusals. </w:t>
      </w:r>
      <w:r>
        <w:rPr>
          <w:rFonts w:ascii="Times New Roman" w:hAnsi="Times New Roman"/>
          <w:b/>
          <w:i w:val="0"/>
          <w:sz w:val="20"/>
        </w:rPr>
        <w:t>Cross-lineage comparisons must define the channel per lineage.</w:t>
      </w:r>
      <w:r>
        <w:rPr>
          <w:rFonts w:ascii="Times New Roman" w:hAnsi="Times New Roman"/>
          <w:b w:val="0"/>
          <w:i w:val="0"/>
          <w:sz w:val="20"/>
        </w:rPr>
        <w:t xml:space="preserve"> The incompleteness is </w:t>
      </w:r>
      <w:r>
        <w:rPr>
          <w:rFonts w:ascii="Times New Roman" w:hAnsi="Times New Roman"/>
          <w:b/>
          <w:i w:val="0"/>
          <w:sz w:val="20"/>
        </w:rPr>
        <w:t>lower-bounded, not disclosed</w:t>
      </w:r>
      <w:r>
        <w:rPr>
          <w:rFonts w:ascii="Times New Roman" w:hAnsi="Times New Roman"/>
          <w:b w:val="0"/>
          <w:i w:val="0"/>
          <w:sz w:val="20"/>
        </w:rPr>
        <w:t xml:space="preserve">: by Proposition 7, write f=R/A and R/N for relative missed detection and absolute omission; a lineage with ratio κ identifies its </w:t>
      </w:r>
      <w:r>
        <w:rPr>
          <w:rFonts w:ascii="Times New Roman" w:hAnsi="Times New Roman"/>
          <w:b/>
          <w:i w:val="0"/>
          <w:sz w:val="20"/>
        </w:rPr>
        <w:t>answered-zero rate</w:t>
      </w:r>
      <w:r>
        <w:rPr>
          <w:rFonts w:ascii="Times New Roman" w:hAnsi="Times New Roman"/>
          <w:b w:val="0"/>
          <w:i w:val="0"/>
          <w:sz w:val="20"/>
        </w:rPr>
        <w:t xml:space="preserve"> only conditionally, the equality failing under an unverbalised true zero, within </w:t>
      </w:r>
      <w:r>
        <w:rPr>
          <w:rFonts w:ascii="Times New Roman" w:hAnsi="Times New Roman"/>
          <w:b/>
          <w:i w:val="0"/>
          <w:sz w:val="20"/>
        </w:rPr>
        <w:t>at least</w:t>
      </w:r>
      <w:r>
        <w:rPr>
          <w:rFonts w:ascii="Times New Roman" w:hAnsi="Times New Roman"/>
          <w:b w:val="0"/>
          <w:i w:val="0"/>
          <w:sz w:val="20"/>
        </w:rPr>
        <w:t xml:space="preserve"> the missed-refusal share 1/(κ+1) — </w:t>
      </w:r>
      <w:r>
        <w:rPr>
          <w:rFonts w:ascii="Times New Roman" w:hAnsi="Times New Roman"/>
          <w:b/>
          <w:i w:val="0"/>
          <w:sz w:val="20"/>
        </w:rPr>
        <w:t>0.18%</w:t>
      </w:r>
      <w:r>
        <w:rPr>
          <w:rFonts w:ascii="Times New Roman" w:hAnsi="Times New Roman"/>
          <w:b w:val="0"/>
          <w:i w:val="0"/>
          <w:sz w:val="20"/>
        </w:rPr>
        <w:t xml:space="preserve"> for Qwen3-VL-32B and </w:t>
      </w:r>
      <w:r>
        <w:rPr>
          <w:rFonts w:ascii="Times New Roman" w:hAnsi="Times New Roman"/>
          <w:b/>
          <w:i w:val="0"/>
          <w:sz w:val="20"/>
        </w:rPr>
        <w:t>30.31%</w:t>
      </w:r>
      <w:r>
        <w:rPr>
          <w:rFonts w:ascii="Times New Roman" w:hAnsi="Times New Roman"/>
          <w:b w:val="0"/>
          <w:i w:val="0"/>
          <w:sz w:val="20"/>
        </w:rPr>
        <w:t xml:space="preserve"> for InternVL2.5-8B — so any </w:t>
      </w:r>
      <w:r>
        <w:rPr>
          <w:rFonts w:ascii="Times New Roman" w:hAnsi="Times New Roman"/>
          <w:b/>
          <w:i w:val="0"/>
          <w:sz w:val="20"/>
        </w:rPr>
        <w:t>answered-zero rate</w:t>
      </w:r>
      <w:r>
        <w:rPr>
          <w:rFonts w:ascii="Times New Roman" w:hAnsi="Times New Roman"/>
          <w:b w:val="0"/>
          <w:i w:val="0"/>
          <w:sz w:val="20"/>
        </w:rPr>
        <w:t xml:space="preserve"> quoted for a partially covered lineage carries that error bar, and the two lineages are never pooled (§3.8, §8.2).</w:t>
      </w:r>
    </w:p>
    <w:p>
      <w:r>
        <w:rPr>
          <w:rFonts w:ascii="Times New Roman" w:hAnsi="Times New Roman"/>
          <w:b/>
          <w:i w:val="0"/>
          <w:sz w:val="20"/>
        </w:rPr>
        <w:t>(d) A consequence that corrects the mechanism.</w:t>
      </w:r>
      <w:r>
        <w:rPr>
          <w:rFonts w:ascii="Times New Roman" w:hAnsi="Times New Roman"/>
          <w:b w:val="0"/>
          <w:i w:val="0"/>
          <w:sz w:val="20"/>
        </w:rPr>
        <w:t xml:space="preserve"> What decides whether a refusal is expressed is the </w:t>
      </w:r>
      <w:r>
        <w:rPr>
          <w:rFonts w:ascii="Times New Roman" w:hAnsi="Times New Roman"/>
          <w:b/>
          <w:i w:val="0"/>
          <w:sz w:val="20"/>
        </w:rPr>
        <w:t>output contract and the outlet it offers</w:t>
      </w:r>
      <w:r>
        <w:rPr>
          <w:rFonts w:ascii="Times New Roman" w:hAnsi="Times New Roman"/>
          <w:b w:val="0"/>
          <w:i w:val="0"/>
          <w:sz w:val="20"/>
        </w:rPr>
        <w:t xml:space="preserve"> — not how much per-instance work the prompt demands; naming zero is an independent factor. The contract answer leaves this open. Prompts that </w:t>
      </w:r>
      <w:r>
        <w:rPr>
          <w:rFonts w:ascii="Times New Roman" w:hAnsi="Times New Roman"/>
          <w:b w:val="0"/>
          <w:i/>
          <w:sz w:val="20"/>
        </w:rPr>
        <w:t>require</w:t>
      </w:r>
      <w:r>
        <w:rPr>
          <w:rFonts w:ascii="Times New Roman" w:hAnsi="Times New Roman"/>
          <w:b w:val="0"/>
          <w:i w:val="0"/>
          <w:sz w:val="20"/>
        </w:rPr>
        <w:t xml:space="preserve"> per-instance enumeration or localisation but expose only a numeric field produced </w:t>
      </w:r>
      <w:r>
        <w:rPr>
          <w:rFonts w:ascii="Times New Roman" w:hAnsi="Times New Roman"/>
          <w:b/>
          <w:i w:val="0"/>
          <w:sz w:val="20"/>
        </w:rPr>
        <w:t>zero explicit refusals</w:t>
      </w:r>
      <w:r>
        <w:rPr>
          <w:rFonts w:ascii="Times New Roman" w:hAnsi="Times New Roman"/>
          <w:b w:val="0"/>
          <w:i w:val="0"/>
          <w:sz w:val="20"/>
        </w:rPr>
        <w:t xml:space="preserve"> and answered </w:t>
      </w:r>
      <w:r>
        <w:rPr>
          <w:rFonts w:ascii="Times New Roman" w:hAnsi="Times New Roman"/>
          <w:b/>
          <w:i w:val="0"/>
          <w:sz w:val="20"/>
        </w:rPr>
        <w:t>0</w:t>
      </w:r>
      <w:r>
        <w:rPr>
          <w:rFonts w:ascii="Times New Roman" w:hAnsi="Times New Roman"/>
          <w:b w:val="0"/>
          <w:i w:val="0"/>
          <w:sz w:val="20"/>
        </w:rPr>
        <w:t xml:space="preserve"> (Qwen3-VL-32B-AWQ on VisDrone: </w:t>
      </w:r>
      <w:r>
        <w:rPr>
          <w:rFonts w:ascii="Times New Roman" w:hAnsi="Times New Roman"/>
          <w:b/>
          <w:i w:val="0"/>
          <w:sz w:val="20"/>
        </w:rPr>
        <w:t>258/273</w:t>
      </w:r>
      <w:r>
        <w:rPr>
          <w:rFonts w:ascii="Times New Roman" w:hAnsi="Times New Roman"/>
          <w:b w:val="0"/>
          <w:i w:val="0"/>
          <w:sz w:val="20"/>
        </w:rPr>
        <w:t xml:space="preserve"> under </w:t>
      </w:r>
      <w:r>
        <w:rPr>
          <w:rFonts w:ascii="Times New Roman" w:hAnsi="Times New Roman"/>
          <w:b w:val="0"/>
          <w:i/>
          <w:sz w:val="20"/>
        </w:rPr>
        <w:t>enum</w:t>
      </w:r>
      <w:r>
        <w:rPr>
          <w:rFonts w:ascii="Times New Roman" w:hAnsi="Times New Roman"/>
          <w:b w:val="0"/>
          <w:i w:val="0"/>
          <w:sz w:val="20"/>
        </w:rPr>
        <w:t xml:space="preserve">, </w:t>
      </w:r>
      <w:r>
        <w:rPr>
          <w:rFonts w:ascii="Times New Roman" w:hAnsi="Times New Roman"/>
          <w:b/>
          <w:i w:val="0"/>
          <w:sz w:val="20"/>
        </w:rPr>
        <w:t>263/273</w:t>
      </w:r>
      <w:r>
        <w:rPr>
          <w:rFonts w:ascii="Times New Roman" w:hAnsi="Times New Roman"/>
          <w:b w:val="0"/>
          <w:i w:val="0"/>
          <w:sz w:val="20"/>
        </w:rPr>
        <w:t xml:space="preserve"> under </w:t>
      </w:r>
      <w:r>
        <w:rPr>
          <w:rFonts w:ascii="Times New Roman" w:hAnsi="Times New Roman"/>
          <w:b w:val="0"/>
          <w:i/>
          <w:sz w:val="20"/>
        </w:rPr>
        <w:t>locate</w:t>
      </w:r>
      <w:r>
        <w:rPr>
          <w:rFonts w:ascii="Times New Roman" w:hAnsi="Times New Roman"/>
          <w:b w:val="0"/>
          <w:i w:val="0"/>
          <w:sz w:val="20"/>
        </w:rPr>
        <w:t xml:space="preserve">; both builds of that checkpoint reproduce it, Appendix M.18). Adding a single abstention token to </w:t>
      </w:r>
      <w:r>
        <w:rPr>
          <w:rFonts w:ascii="Times New Roman" w:hAnsi="Times New Roman"/>
          <w:b/>
          <w:i w:val="0"/>
          <w:sz w:val="20"/>
        </w:rPr>
        <w:t>the same</w:t>
      </w:r>
      <w:r>
        <w:rPr>
          <w:rFonts w:ascii="Times New Roman" w:hAnsi="Times New Roman"/>
          <w:b w:val="0"/>
          <w:i w:val="0"/>
          <w:sz w:val="20"/>
        </w:rPr>
        <w:t xml:space="preserve"> enumeration prompt converted </w:t>
      </w:r>
      <w:r>
        <w:rPr>
          <w:rFonts w:ascii="Times New Roman" w:hAnsi="Times New Roman"/>
          <w:b/>
          <w:i w:val="0"/>
          <w:sz w:val="20"/>
        </w:rPr>
        <w:t>268/273</w:t>
      </w:r>
      <w:r>
        <w:rPr>
          <w:rFonts w:ascii="Times New Roman" w:hAnsi="Times New Roman"/>
          <w:b w:val="0"/>
          <w:i w:val="0"/>
          <w:sz w:val="20"/>
        </w:rPr>
        <w:t xml:space="preserve"> of those items into explicit abstention, whereas relaxing the demand while still exposing only a number left the answered-zero count unchanged (</w:t>
      </w:r>
      <w:r>
        <w:rPr>
          <w:rFonts w:ascii="Times New Roman" w:hAnsi="Times New Roman"/>
          <w:b/>
          <w:i w:val="0"/>
          <w:sz w:val="20"/>
        </w:rPr>
        <w:t>121 → 121</w:t>
      </w:r>
      <w:r>
        <w:rPr>
          <w:rFonts w:ascii="Times New Roman" w:hAnsi="Times New Roman"/>
          <w:b w:val="0"/>
          <w:i w:val="0"/>
          <w:sz w:val="20"/>
        </w:rPr>
        <w:t>) or slightly higher (</w:t>
      </w:r>
      <w:r>
        <w:rPr>
          <w:rFonts w:ascii="Times New Roman" w:hAnsi="Times New Roman"/>
          <w:b/>
          <w:i w:val="0"/>
          <w:sz w:val="20"/>
        </w:rPr>
        <w:t>232 → 235</w:t>
      </w:r>
      <w:r>
        <w:rPr>
          <w:rFonts w:ascii="Times New Roman" w:hAnsi="Times New Roman"/>
          <w:b w:val="0"/>
          <w:i w:val="0"/>
          <w:sz w:val="20"/>
        </w:rPr>
        <w:t xml:space="preserve">). The legibility attribution rests on §5.6–5.7, with one boundary the census imposes: under an abstention contract the </w:t>
      </w:r>
      <w:r>
        <w:rPr>
          <w:rFonts w:ascii="Times New Roman" w:hAnsi="Times New Roman"/>
          <w:b/>
          <w:i w:val="0"/>
          <w:sz w:val="20"/>
        </w:rPr>
        <w:t>dense</w:t>
      </w:r>
      <w:r>
        <w:rPr>
          <w:rFonts w:ascii="Times New Roman" w:hAnsi="Times New Roman"/>
          <w:b w:val="0"/>
          <w:i w:val="0"/>
          <w:sz w:val="20"/>
        </w:rPr>
        <w:t xml:space="preserve"> domains </w:t>
      </w:r>
      <w:r>
        <w:rPr>
          <w:rFonts w:ascii="Times New Roman" w:hAnsi="Times New Roman"/>
          <w:b/>
          <w:i w:val="0"/>
          <w:sz w:val="20"/>
        </w:rPr>
        <w:t>saturate</w:t>
      </w:r>
      <w:r>
        <w:rPr>
          <w:rFonts w:ascii="Times New Roman" w:hAnsi="Times New Roman"/>
          <w:b w:val="0"/>
          <w:i w:val="0"/>
          <w:sz w:val="20"/>
        </w:rPr>
        <w:t xml:space="preserve"> (89–100% of items the corpus had answered with a number, 100% of those it had answered 0), so the outlet carries no selectivity there and legibility-gating is demonstrable only in the </w:t>
      </w:r>
      <w:r>
        <w:rPr>
          <w:rFonts w:ascii="Times New Roman" w:hAnsi="Times New Roman"/>
          <w:b/>
          <w:i w:val="0"/>
          <w:sz w:val="20"/>
        </w:rPr>
        <w:t>aerial</w:t>
      </w:r>
      <w:r>
        <w:rPr>
          <w:rFonts w:ascii="Times New Roman" w:hAnsi="Times New Roman"/>
          <w:b w:val="0"/>
          <w:i w:val="0"/>
          <w:sz w:val="20"/>
        </w:rPr>
        <w:t xml:space="preserve"> domains, on </w:t>
      </w:r>
      <w:r>
        <w:rPr>
          <w:rFonts w:ascii="Times New Roman" w:hAnsi="Times New Roman"/>
          <w:b/>
          <w:i w:val="0"/>
          <w:sz w:val="20"/>
        </w:rPr>
        <w:t>36–93%</w:t>
      </w:r>
      <w:r>
        <w:rPr>
          <w:rFonts w:ascii="Times New Roman" w:hAnsi="Times New Roman"/>
          <w:b w:val="0"/>
          <w:i w:val="0"/>
          <w:sz w:val="20"/>
        </w:rPr>
        <w:t xml:space="preserve"> of such items (Appendix M.18).</w:t>
      </w:r>
    </w:p>
    <w:p>
      <w:pPr>
        <w:pStyle w:val="Heading3"/>
      </w:pPr>
      <w:r>
        <w:rPr>
          <w:rFonts w:ascii="Times New Roman" w:hAnsi="Times New Roman"/>
          <w:b/>
          <w:i w:val="0"/>
          <w:sz w:val="20"/>
        </w:rPr>
        <w:t>3.7 Anomalous records, exclusions and data hygiene</w:t>
      </w:r>
    </w:p>
    <w:p>
      <w:r>
        <w:rPr>
          <w:rFonts w:ascii="Times New Roman" w:hAnsi="Times New Roman"/>
          <w:b w:val="0"/>
          <w:i w:val="0"/>
          <w:sz w:val="20"/>
        </w:rPr>
        <w:t xml:space="preserve">Anomalous-record removal, quarantine of unreadable key data, and the person-matched recomputation are preconditions here, not refinements; the rules and the corpus-wide scan behind them are in </w:t>
      </w:r>
      <w:r>
        <w:rPr>
          <w:rFonts w:ascii="Times New Roman" w:hAnsi="Times New Roman"/>
          <w:b/>
          <w:i w:val="0"/>
          <w:sz w:val="20"/>
        </w:rPr>
        <w:t>Appendix I</w:t>
      </w:r>
      <w:r>
        <w:rPr>
          <w:rFonts w:ascii="Times New Roman" w:hAnsi="Times New Roman"/>
          <w:b w:val="0"/>
          <w:i w:val="0"/>
          <w:sz w:val="20"/>
        </w:rPr>
        <w:t>.</w:t>
      </w:r>
    </w:p>
    <w:p>
      <w:pPr>
        <w:pStyle w:val="Heading3"/>
      </w:pPr>
      <w:r>
        <w:rPr>
          <w:rFonts w:ascii="Times New Roman" w:hAnsi="Times New Roman"/>
          <w:b/>
          <w:i w:val="0"/>
          <w:sz w:val="20"/>
        </w:rPr>
        <w:t>3.8 Formal framework: what is identifiable from outputs</w:t>
      </w:r>
    </w:p>
    <w:p>
      <w:r>
        <w:rPr>
          <w:rFonts w:ascii="Times New Roman" w:hAnsi="Times New Roman"/>
          <w:b w:val="0"/>
          <w:i w:val="0"/>
          <w:sz w:val="20"/>
        </w:rPr>
        <w:t xml:space="preserve">Eight statements are used later. All are </w:t>
      </w:r>
      <w:r>
        <w:rPr>
          <w:rFonts w:ascii="Times New Roman" w:hAnsi="Times New Roman"/>
          <w:b/>
          <w:i w:val="0"/>
          <w:sz w:val="20"/>
        </w:rPr>
        <w:t>either identities of the reporting convention or decidability statements</w:t>
      </w:r>
      <w:r>
        <w:rPr>
          <w:rFonts w:ascii="Times New Roman" w:hAnsi="Times New Roman"/>
          <w:b w:val="0"/>
          <w:i w:val="0"/>
          <w:sz w:val="20"/>
        </w:rPr>
        <w:t xml:space="preserve"> — not empirical findings — so they are stated compactly here; derivations and scope notes are in </w:t>
      </w:r>
      <w:r>
        <w:rPr>
          <w:rFonts w:ascii="Times New Roman" w:hAnsi="Times New Roman"/>
          <w:b/>
          <w:i w:val="0"/>
          <w:sz w:val="20"/>
        </w:rPr>
        <w:t>Appendix M.21</w:t>
      </w:r>
      <w:r>
        <w:rPr>
          <w:rFonts w:ascii="Times New Roman" w:hAnsi="Times New Roman"/>
          <w:b w:val="0"/>
          <w:i w:val="0"/>
          <w:sz w:val="20"/>
        </w:rPr>
        <w:t>.</w:t>
      </w:r>
    </w:p>
    <w:p>
      <w:r>
        <w:rPr>
          <w:rFonts w:ascii="Times New Roman" w:hAnsi="Times New Roman"/>
          <w:b/>
          <w:i w:val="0"/>
          <w:sz w:val="20"/>
        </w:rPr>
        <w:t>Proposition 1 (abstention is not identified by outputs alone).</w:t>
      </w:r>
      <w:r>
        <w:rPr>
          <w:rFonts w:ascii="Times New Roman" w:hAnsi="Times New Roman"/>
          <w:b w:val="0"/>
          <w:i w:val="0"/>
          <w:sz w:val="20"/>
        </w:rPr>
        <w:t xml:space="preserve"> </w:t>
      </w:r>
      <w:r>
        <w:rPr>
          <w:rFonts w:ascii="Times New Roman" w:hAnsi="Times New Roman"/>
          <w:b w:val="0"/>
          <w:i/>
          <w:sz w:val="20"/>
        </w:rPr>
        <w:t>y = 0</w:t>
      </w:r>
      <w:r>
        <w:rPr>
          <w:rFonts w:ascii="Times New Roman" w:hAnsi="Times New Roman"/>
          <w:b w:val="0"/>
          <w:i w:val="0"/>
          <w:sz w:val="20"/>
        </w:rPr>
        <w:t xml:space="preserve"> is produced both by abstaining and by estimating zero, so identification needs an auxiliary channel. </w:t>
      </w:r>
      <w:r>
        <w:rPr>
          <w:rFonts w:ascii="Times New Roman" w:hAnsi="Times New Roman"/>
          <w:b/>
          <w:i w:val="0"/>
          <w:sz w:val="20"/>
        </w:rPr>
        <w:t>This holds only if the two channels are exhaustive; a genuine zero that is also not verbalised would be a third, and our data do not exclude one.</w:t>
      </w:r>
      <w:r>
        <w:rPr>
          <w:rFonts w:ascii="Times New Roman" w:hAnsi="Times New Roman"/>
          <w:b w:val="0"/>
          <w:i w:val="0"/>
          <w:sz w:val="20"/>
        </w:rPr>
        <w:t xml:space="preserve"> We use κ=\#\y=0\/\#\textual refusals\ and report the measured value — the missed-refusal share </w:t>
      </w:r>
      <w:r>
        <w:rPr>
          <w:rFonts w:ascii="Times New Roman" w:hAnsi="Times New Roman"/>
          <w:b/>
          <w:i w:val="0"/>
          <w:sz w:val="20"/>
        </w:rPr>
        <w:t>0.18%</w:t>
      </w:r>
      <w:r>
        <w:rPr>
          <w:rFonts w:ascii="Times New Roman" w:hAnsi="Times New Roman"/>
          <w:b w:val="0"/>
          <w:i w:val="0"/>
          <w:sz w:val="20"/>
        </w:rPr>
        <w:t xml:space="preserve"> for Qwen3-VL-32B (κ = 550.6) and </w:t>
      </w:r>
      <w:r>
        <w:rPr>
          <w:rFonts w:ascii="Times New Roman" w:hAnsi="Times New Roman"/>
          <w:b/>
          <w:i w:val="0"/>
          <w:sz w:val="20"/>
        </w:rPr>
        <w:t>30.31%</w:t>
      </w:r>
      <w:r>
        <w:rPr>
          <w:rFonts w:ascii="Times New Roman" w:hAnsi="Times New Roman"/>
          <w:b w:val="0"/>
          <w:i w:val="0"/>
          <w:sz w:val="20"/>
        </w:rPr>
        <w:t xml:space="preserve"> for InternVL2.5-8B (κ = 2.3) — the arithmetic reason §3.6 reports the two lineages separately.</w:t>
      </w:r>
    </w:p>
    <w:p>
      <w:r>
        <w:rPr>
          <w:rFonts w:ascii="Times New Roman" w:hAnsi="Times New Roman"/>
          <w:b/>
          <w:i w:val="0"/>
          <w:sz w:val="20"/>
        </w:rPr>
        <w:t>Proposition 2 (the two conventions diverge exactly when the per-image ratio correlates with ground truth).</w:t>
      </w:r>
      <w:r>
        <w:rPr>
          <w:rFonts w:ascii="Times New Roman" w:hAnsi="Times New Roman"/>
          <w:b w:val="0"/>
          <w:i w:val="0"/>
          <w:sz w:val="20"/>
        </w:rPr>
        <w:t xml:space="preserve"> ρ_pooled-ρ=Cov_g(g,r)/ g; abstention is itself GT-dependent, but that alone fixes neither its sign nor its size: it is </w:t>
      </w:r>
      <w:r>
        <w:rPr>
          <w:rFonts w:ascii="Times New Roman" w:hAnsi="Times New Roman"/>
          <w:b/>
          <w:i w:val="0"/>
          <w:sz w:val="20"/>
        </w:rPr>
        <w:t>measured per domain, not assumed</w:t>
      </w:r>
      <w:r>
        <w:rPr>
          <w:rFonts w:ascii="Times New Roman" w:hAnsi="Times New Roman"/>
          <w:b w:val="0"/>
          <w:i w:val="0"/>
          <w:sz w:val="20"/>
        </w:rPr>
        <w:t>. §5.12 reports those values. Both conventions are therefore reported side by side.</w:t>
      </w:r>
    </w:p>
    <w:p>
      <w:r>
        <w:rPr>
          <w:rFonts w:ascii="Times New Roman" w:hAnsi="Times New Roman"/>
          <w:b/>
          <w:i w:val="0"/>
          <w:sz w:val="20"/>
        </w:rPr>
        <w:t>Proposition 3 (span is a functional of the admitted level set).</w:t>
      </w:r>
      <w:r>
        <w:rPr>
          <w:rFonts w:ascii="Times New Roman" w:hAnsi="Times New Roman"/>
          <w:b w:val="0"/>
          <w:i w:val="0"/>
          <w:sz w:val="20"/>
        </w:rPr>
        <w:t xml:space="preserve"> Any candidate predictor built from its extremes is a </w:t>
      </w:r>
      <w:r>
        <w:rPr>
          <w:rFonts w:ascii="Times New Roman" w:hAnsi="Times New Roman"/>
          <w:b/>
          <w:i w:val="0"/>
          <w:sz w:val="20"/>
        </w:rPr>
        <w:t>component of the definition</w:t>
      </w:r>
      <w:r>
        <w:rPr>
          <w:rFonts w:ascii="Times New Roman" w:hAnsi="Times New Roman"/>
          <w:b w:val="0"/>
          <w:i w:val="0"/>
          <w:sz w:val="20"/>
        </w:rPr>
        <w:t xml:space="preserve"> (partial correlation exactly ± 1). We therefore withdraw our own candidate and claim </w:t>
      </w:r>
      <w:r>
        <w:rPr>
          <w:rFonts w:ascii="Times New Roman" w:hAnsi="Times New Roman"/>
          <w:b/>
          <w:i w:val="0"/>
          <w:sz w:val="20"/>
        </w:rPr>
        <w:t>availability</w:t>
      </w:r>
      <w:r>
        <w:rPr>
          <w:rFonts w:ascii="Times New Roman" w:hAnsi="Times New Roman"/>
          <w:b w:val="0"/>
          <w:i w:val="0"/>
          <w:sz w:val="20"/>
        </w:rPr>
        <w:t xml:space="preserve"> — decidable from the same quantities, since it holds iff max_ℓ q_ℓ ≥ 1 at the loosest admitted level — but </w:t>
      </w:r>
      <w:r>
        <w:rPr>
          <w:rFonts w:ascii="Times New Roman" w:hAnsi="Times New Roman"/>
          <w:b/>
          <w:i w:val="0"/>
          <w:sz w:val="20"/>
        </w:rPr>
        <w:t>not magnitude</w:t>
      </w:r>
      <w:r>
        <w:rPr>
          <w:rFonts w:ascii="Times New Roman" w:hAnsi="Times New Roman"/>
          <w:b w:val="0"/>
          <w:i w:val="0"/>
          <w:sz w:val="20"/>
        </w:rPr>
        <w:t>: magnitude is not predicted by any quantity constructible here.</w:t>
      </w:r>
    </w:p>
    <w:p>
      <w:r>
        <w:rPr>
          <w:rFonts w:ascii="Times New Roman" w:hAnsi="Times New Roman"/>
          <w:b/>
          <w:i w:val="0"/>
          <w:sz w:val="20"/>
        </w:rPr>
        <w:t>Proposition 4 (the aggregate bias decomposes exactly).</w:t>
      </w:r>
      <w:r>
        <w:rPr>
          <w:rFonts w:ascii="Times New Roman" w:hAnsi="Times New Roman"/>
          <w:b w:val="0"/>
          <w:i w:val="0"/>
          <w:sz w:val="20"/>
        </w:rPr>
        <w:t xml:space="preserve"> ρ_total=-(1-w)+w ρ_answered with w=G_N/G the ground-truth-weighted answered share (distinct from the item answered-zero rate q_C and the abstention-channel coverage 1-f; Appendix M.21.1), and the abstention share of the under-count has the closed form S=(1-w)/[1-w(1+ρ_answered)], a share inside [0,1] only if the net deviation is an under-count and the answering term does not offset the abstention term (ρ_answered≤0); it is undefined at zero net error; otherwise Table 3's two pp terms are reported (§8.2). This is a reporting identity of the same form as the answer-propensity / conditional-composition decomposition we use elsewhere [46]. Conditioning precision on prevalence is not a new identification result: it is the partial-identification problem of Manski [56] and the quantification literature's unidentified-prevalence target (Gonzalez et al. [57]), both cited in full in </w:t>
      </w:r>
      <w:r>
        <w:rPr>
          <w:rFonts w:ascii="Times New Roman" w:hAnsi="Times New Roman"/>
          <w:b/>
          <w:i w:val="0"/>
          <w:sz w:val="20"/>
        </w:rPr>
        <w:t>Appendix M.21</w:t>
      </w:r>
      <w:r>
        <w:rPr>
          <w:rFonts w:ascii="Times New Roman" w:hAnsi="Times New Roman"/>
          <w:b w:val="0"/>
          <w:i w:val="0"/>
          <w:sz w:val="20"/>
        </w:rPr>
        <w:t>, so what is added here is the application to counted outputs; what is in question is where the movement goes on this corpus.</w:t>
      </w:r>
    </w:p>
    <w:p>
      <w:r>
        <w:rPr>
          <w:rFonts w:ascii="Times New Roman" w:hAnsi="Times New Roman"/>
          <w:b/>
          <w:i w:val="0"/>
          <w:sz w:val="20"/>
        </w:rPr>
        <w:t>Proposition 5 (span is equivariant, not invariant, under shared affine calibration).</w:t>
      </w:r>
      <w:r>
        <w:rPr>
          <w:rFonts w:ascii="Times New Roman" w:hAnsi="Times New Roman"/>
          <w:b w:val="0"/>
          <w:i w:val="0"/>
          <w:sz w:val="20"/>
        </w:rPr>
        <w:t xml:space="preserve"> span s·span, so the objection that a large span is a calibration artefact requires exhibiting s1.</w:t>
      </w:r>
    </w:p>
    <w:p>
      <w:r>
        <w:rPr>
          <w:rFonts w:ascii="Times New Roman" w:hAnsi="Times New Roman"/>
          <w:b/>
          <w:i w:val="0"/>
          <w:sz w:val="20"/>
        </w:rPr>
        <w:t>Proposition 6 (targets-per-image is not a legibility-consistent stratifier).</w:t>
      </w:r>
      <w:r>
        <w:rPr>
          <w:rFonts w:ascii="Times New Roman" w:hAnsi="Times New Roman"/>
          <w:b w:val="0"/>
          <w:i w:val="0"/>
          <w:sz w:val="20"/>
        </w:rPr>
        <w:t xml:space="preserve"> VisDrone and AI-TOD have the fewest targets (17–22) yet abstain as often as ShanghaiTech-A (433), licensing stratification by legibility, not density.</w:t>
      </w:r>
    </w:p>
    <w:p>
      <w:r>
        <w:rPr>
          <w:rFonts w:ascii="Times New Roman" w:hAnsi="Times New Roman"/>
          <w:b/>
          <w:i w:val="0"/>
          <w:sz w:val="20"/>
        </w:rPr>
        <w:t>Proposition 7 (under the two-channel assumption the identification error of the answered-zero channel is 1/(κ+1), a lower bound).</w:t>
      </w:r>
      <w:r>
        <w:rPr>
          <w:rFonts w:ascii="Times New Roman" w:hAnsi="Times New Roman"/>
          <w:b w:val="0"/>
          <w:i w:val="0"/>
          <w:sz w:val="20"/>
        </w:rPr>
        <w:t xml:space="preserve"> Conditional on it, that error is a known function of a measured quantity — </w:t>
      </w:r>
      <w:r>
        <w:rPr>
          <w:rFonts w:ascii="Times New Roman" w:hAnsi="Times New Roman"/>
          <w:b/>
          <w:i w:val="0"/>
          <w:sz w:val="20"/>
        </w:rPr>
        <w:t>0.18%</w:t>
      </w:r>
      <w:r>
        <w:rPr>
          <w:rFonts w:ascii="Times New Roman" w:hAnsi="Times New Roman"/>
          <w:b w:val="0"/>
          <w:i w:val="0"/>
          <w:sz w:val="20"/>
        </w:rPr>
        <w:t xml:space="preserve"> for Qwen3-VL-32B and </w:t>
      </w:r>
      <w:r>
        <w:rPr>
          <w:rFonts w:ascii="Times New Roman" w:hAnsi="Times New Roman"/>
          <w:b/>
          <w:i w:val="0"/>
          <w:sz w:val="20"/>
        </w:rPr>
        <w:t>30.31%</w:t>
      </w:r>
      <w:r>
        <w:rPr>
          <w:rFonts w:ascii="Times New Roman" w:hAnsi="Times New Roman"/>
          <w:b w:val="0"/>
          <w:i w:val="0"/>
          <w:sz w:val="20"/>
        </w:rPr>
        <w:t xml:space="preserve"> for InternVL2.5-8B — and because a third channel would raise it, these are </w:t>
      </w:r>
      <w:r>
        <w:rPr>
          <w:rFonts w:ascii="Times New Roman" w:hAnsi="Times New Roman"/>
          <w:b/>
          <w:i w:val="0"/>
          <w:sz w:val="20"/>
        </w:rPr>
        <w:t>lower bounds on the identification error, not upper bounds</w:t>
      </w:r>
      <w:r>
        <w:rPr>
          <w:rFonts w:ascii="Times New Roman" w:hAnsi="Times New Roman"/>
          <w:b w:val="0"/>
          <w:i w:val="0"/>
          <w:sz w:val="20"/>
        </w:rPr>
        <w:t xml:space="preserve">. The assumption is </w:t>
      </w:r>
      <w:r>
        <w:rPr>
          <w:rFonts w:ascii="Times New Roman" w:hAnsi="Times New Roman"/>
          <w:b/>
          <w:i w:val="0"/>
          <w:sz w:val="20"/>
        </w:rPr>
        <w:t>not proven</w:t>
      </w:r>
      <w:r>
        <w:rPr>
          <w:rFonts w:ascii="Times New Roman" w:hAnsi="Times New Roman"/>
          <w:b w:val="0"/>
          <w:i w:val="0"/>
          <w:sz w:val="20"/>
        </w:rPr>
        <w:t xml:space="preserve">: the quantity is a </w:t>
      </w:r>
      <w:r>
        <w:rPr>
          <w:rFonts w:ascii="Times New Roman" w:hAnsi="Times New Roman"/>
          <w:b/>
          <w:i w:val="0"/>
          <w:sz w:val="20"/>
        </w:rPr>
        <w:t>coverage, not a precision</w:t>
      </w:r>
      <w:r>
        <w:rPr>
          <w:rFonts w:ascii="Times New Roman" w:hAnsi="Times New Roman"/>
          <w:b w:val="0"/>
          <w:i w:val="0"/>
          <w:sz w:val="20"/>
        </w:rPr>
        <w:t xml:space="preserve"> — it bounds how much abstention the channel catches, not how many answered zeros are genuine. Two external true-zero pools now measure a </w:t>
      </w:r>
      <w:r>
        <w:rPr>
          <w:rFonts w:ascii="Times New Roman" w:hAnsi="Times New Roman"/>
          <w:b/>
          <w:i w:val="0"/>
          <w:sz w:val="20"/>
        </w:rPr>
        <w:t>sensitivity, not a precision</w:t>
      </w:r>
      <w:r>
        <w:rPr>
          <w:rFonts w:ascii="Times New Roman" w:hAnsi="Times New Roman"/>
          <w:b w:val="0"/>
          <w:i w:val="0"/>
          <w:sz w:val="20"/>
        </w:rPr>
        <w:t xml:space="preserve">: under </w:t>
      </w:r>
      <w:r>
        <w:rPr>
          <w:rFonts w:ascii="Times New Roman" w:hAnsi="Times New Roman"/>
          <w:b w:val="0"/>
          <w:i/>
          <w:sz w:val="20"/>
        </w:rPr>
        <w:t>base</w:t>
      </w:r>
      <w:r>
        <w:rPr>
          <w:rFonts w:ascii="Times New Roman" w:hAnsi="Times New Roman"/>
          <w:b w:val="0"/>
          <w:i w:val="0"/>
          <w:sz w:val="20"/>
        </w:rPr>
        <w:t xml:space="preserve"> three of four builds answer zero on </w:t>
      </w:r>
      <w:r>
        <w:rPr>
          <w:rFonts w:ascii="Times New Roman" w:hAnsi="Times New Roman"/>
          <w:b/>
          <w:i w:val="0"/>
          <w:sz w:val="20"/>
        </w:rPr>
        <w:t>98–100%</w:t>
      </w:r>
      <w:r>
        <w:rPr>
          <w:rFonts w:ascii="Times New Roman" w:hAnsi="Times New Roman"/>
          <w:b w:val="0"/>
          <w:i w:val="0"/>
          <w:sz w:val="20"/>
        </w:rPr>
        <w:t xml:space="preserve"> of aerial pool S-1, and only one </w:t>
      </w:r>
      <w:r>
        <w:rPr>
          <w:rFonts w:ascii="Times New Roman" w:hAnsi="Times New Roman"/>
          <w:b/>
          <w:i w:val="0"/>
          <w:sz w:val="20"/>
        </w:rPr>
        <w:t>build</w:t>
      </w:r>
      <w:r>
        <w:rPr>
          <w:rFonts w:ascii="Times New Roman" w:hAnsi="Times New Roman"/>
          <w:b w:val="0"/>
          <w:i w:val="0"/>
          <w:sz w:val="20"/>
        </w:rPr>
        <w:t xml:space="preserve"> — gemma-3-12b — has headroom in both pools, so only its two-source comparison is licensed (the other three builds' two-source agreement there is largely a saturation product, Appendix M.21.9(c)), and  remains unknown (Appendix M.21, M.21.10) — </w:t>
      </w:r>
      <w:r>
        <w:rPr>
          <w:rFonts w:ascii="Times New Roman" w:hAnsi="Times New Roman"/>
          <w:b/>
          <w:i w:val="0"/>
          <w:sz w:val="20"/>
        </w:rPr>
        <w:t>whereas under `permit` the anchored build abstains on 148 of 150 S-1 items yet still answers zero on 146 of 150</w:t>
      </w:r>
      <w:r>
        <w:rPr>
          <w:rFonts w:ascii="Times New Roman" w:hAnsi="Times New Roman"/>
          <w:b w:val="0"/>
          <w:i w:val="0"/>
          <w:sz w:val="20"/>
        </w:rPr>
        <w:t xml:space="preserve"> of the second pool (Appendix M.21). Third-channel sensitivity is in Appendix J.5.</w:t>
      </w:r>
    </w:p>
    <w:p>
      <w:r>
        <w:rPr>
          <w:rFonts w:ascii="Times New Roman" w:hAnsi="Times New Roman"/>
          <w:b/>
          <w:i w:val="0"/>
          <w:sz w:val="20"/>
        </w:rPr>
        <w:t>Proposition 8 (the dual-convention gap is an identity, not a bound).</w:t>
      </w:r>
      <w:r>
        <w:rPr>
          <w:rFonts w:ascii="Times New Roman" w:hAnsi="Times New Roman"/>
          <w:b w:val="0"/>
          <w:i w:val="0"/>
          <w:sz w:val="20"/>
        </w:rPr>
        <w:t xml:space="preserve"> From Proposition 4 the gap equals -(1-w)(1+ρ_answered), i.e. </w:t>
      </w:r>
      <w:r>
        <w:rPr>
          <w:rFonts w:ascii="Times New Roman" w:hAnsi="Times New Roman"/>
          <w:b/>
          <w:i w:val="0"/>
          <w:sz w:val="20"/>
        </w:rPr>
        <w:t>zero iff w = 1 or ρ_answered=-1</w:t>
      </w:r>
      <w:r>
        <w:rPr>
          <w:rFonts w:ascii="Times New Roman" w:hAnsi="Times New Roman"/>
          <w:b w:val="0"/>
          <w:i w:val="0"/>
          <w:sz w:val="20"/>
        </w:rPr>
        <w:t>, and it survives an unbiased answered subset, so a single-convention report is uninterpretable.</w:t>
      </w:r>
    </w:p>
    <w:p>
      <w:pPr>
        <w:pStyle w:val="Heading3"/>
      </w:pPr>
      <w:r>
        <w:rPr>
          <w:rFonts w:ascii="Times New Roman" w:hAnsi="Times New Roman"/>
          <w:b/>
          <w:i w:val="0"/>
          <w:sz w:val="20"/>
        </w:rPr>
        <w:t>3.9 Figures and tables</w:t>
      </w:r>
    </w:p>
    <w:p>
      <w:r>
        <w:rPr>
          <w:rFonts w:ascii="Times New Roman" w:hAnsi="Times New Roman"/>
          <w:b w:val="0"/>
          <w:i w:val="0"/>
          <w:sz w:val="20"/>
        </w:rPr>
        <w:t xml:space="preserve">Figures </w:t>
      </w:r>
      <w:r>
        <w:rPr>
          <w:rFonts w:ascii="Times New Roman" w:hAnsi="Times New Roman"/>
          <w:b/>
          <w:i w:val="0"/>
          <w:sz w:val="20"/>
        </w:rPr>
        <w:t>1–4</w:t>
      </w:r>
      <w:r>
        <w:rPr>
          <w:rFonts w:ascii="Times New Roman" w:hAnsi="Times New Roman"/>
          <w:b w:val="0"/>
          <w:i w:val="0"/>
          <w:sz w:val="20"/>
        </w:rPr>
        <w:t xml:space="preserve"> and Tables </w:t>
      </w:r>
      <w:r>
        <w:rPr>
          <w:rFonts w:ascii="Times New Roman" w:hAnsi="Times New Roman"/>
          <w:b/>
          <w:i w:val="0"/>
          <w:sz w:val="20"/>
        </w:rPr>
        <w:t>1–6</w:t>
      </w:r>
      <w:r>
        <w:rPr>
          <w:rFonts w:ascii="Times New Roman" w:hAnsi="Times New Roman"/>
          <w:b w:val="0"/>
          <w:i w:val="0"/>
          <w:sz w:val="20"/>
        </w:rPr>
        <w:t xml:space="preserve"> appear where their claim is stated (</w:t>
      </w:r>
      <w:r>
        <w:rPr>
          <w:rFonts w:ascii="Times New Roman" w:hAnsi="Times New Roman"/>
          <w:b/>
          <w:i w:val="0"/>
          <w:sz w:val="20"/>
        </w:rPr>
        <w:t>Appendix D.4</w:t>
      </w:r>
      <w:r>
        <w:rPr>
          <w:rFonts w:ascii="Times New Roman" w:hAnsi="Times New Roman"/>
          <w:b w:val="0"/>
          <w:i w:val="0"/>
          <w:sz w:val="20"/>
        </w:rPr>
        <w:t>).</w:t>
      </w:r>
    </w:p>
    <w:p>
      <w:pPr>
        <w:pStyle w:val="Heading2"/>
      </w:pPr>
      <w:r>
        <w:rPr>
          <w:rFonts w:ascii="Times New Roman" w:hAnsi="Times New Roman"/>
          <w:b/>
          <w:i w:val="0"/>
          <w:sz w:val="24"/>
        </w:rPr>
        <w:t>4. Results I: Detection — the threshold knob and the domain conditionality of its reach</w:t>
      </w:r>
    </w:p>
    <w:p>
      <w:r>
        <w:rPr>
          <w:rFonts w:ascii="Times New Roman" w:hAnsi="Times New Roman"/>
          <w:b w:val="0"/>
          <w:i/>
          <w:sz w:val="20"/>
        </w:rPr>
        <w:t>(A cross-paradigm control that supplies the direction knob; the headline finding is in §5.)</w:t>
      </w:r>
    </w:p>
    <w:p>
      <w:pPr>
        <w:pStyle w:val="Heading3"/>
      </w:pPr>
      <w:r>
        <w:rPr>
          <w:rFonts w:ascii="Times New Roman" w:hAnsi="Times New Roman"/>
          <w:b/>
          <w:i w:val="0"/>
          <w:sz w:val="20"/>
        </w:rPr>
        <w:t>4.1 Reachability of the zero crossing, and its domain conditionality</w:t>
      </w:r>
    </w:p>
    <w:p>
      <w:r>
        <w:rPr>
          <w:rFonts w:ascii="Times New Roman" w:hAnsi="Times New Roman"/>
          <w:b w:val="0"/>
          <w:i w:val="0"/>
          <w:sz w:val="20"/>
        </w:rPr>
        <w:t xml:space="preserve">Detection is the only family here in which a </w:t>
      </w:r>
      <w:r>
        <w:rPr>
          <w:rFonts w:ascii="Times New Roman" w:hAnsi="Times New Roman"/>
          <w:b/>
          <w:i w:val="0"/>
          <w:sz w:val="20"/>
        </w:rPr>
        <w:t>single scalar</w:t>
      </w:r>
      <w:r>
        <w:rPr>
          <w:rFonts w:ascii="Times New Roman" w:hAnsi="Times New Roman"/>
          <w:b w:val="0"/>
          <w:i w:val="0"/>
          <w:sz w:val="20"/>
        </w:rPr>
        <w:t xml:space="preserve"> moves the signed direction continuously across zero. Two calibers are reported side by side. Under </w:t>
      </w:r>
      <w:r>
        <w:rPr>
          <w:rFonts w:ascii="Times New Roman" w:hAnsi="Times New Roman"/>
          <w:b/>
          <w:i w:val="0"/>
          <w:sz w:val="20"/>
        </w:rPr>
        <w:t>person-matched</w:t>
      </w:r>
      <w:r>
        <w:rPr>
          <w:rFonts w:ascii="Times New Roman" w:hAnsi="Times New Roman"/>
          <w:b w:val="0"/>
          <w:i w:val="0"/>
          <w:sz w:val="20"/>
        </w:rPr>
        <w:t xml:space="preserve">, used throughout this section, the in-domain detector's pooled ρ travels from </w:t>
      </w:r>
      <w:r>
        <w:rPr>
          <w:rFonts w:ascii="Times New Roman" w:hAnsi="Times New Roman"/>
          <w:b/>
          <w:i w:val="0"/>
          <w:sz w:val="20"/>
        </w:rPr>
        <w:t>+109.4%</w:t>
      </w:r>
      <w:r>
        <w:rPr>
          <w:rFonts w:ascii="Times New Roman" w:hAnsi="Times New Roman"/>
          <w:b w:val="0"/>
          <w:i w:val="0"/>
          <w:sz w:val="20"/>
        </w:rPr>
        <w:t xml:space="preserve"> to </w:t>
      </w:r>
      <w:r>
        <w:rPr>
          <w:rFonts w:ascii="Times New Roman" w:hAnsi="Times New Roman"/>
          <w:b/>
          <w:i w:val="0"/>
          <w:sz w:val="20"/>
        </w:rPr>
        <w:t>−86.3%</w:t>
      </w:r>
      <w:r>
        <w:rPr>
          <w:rFonts w:ascii="Times New Roman" w:hAnsi="Times New Roman"/>
          <w:b w:val="0"/>
          <w:i w:val="0"/>
          <w:sz w:val="20"/>
        </w:rPr>
        <w:t xml:space="preserve">, while the same architecture with COCO-pretrained weights, on the same domain, item set and convention, covers only </w:t>
      </w:r>
      <w:r>
        <w:rPr>
          <w:rFonts w:ascii="Times New Roman" w:hAnsi="Times New Roman"/>
          <w:b/>
          <w:i w:val="0"/>
          <w:sz w:val="20"/>
        </w:rPr>
        <w:t>16.4 / 30.3 / 55.5 pp</w:t>
      </w:r>
      <w:r>
        <w:rPr>
          <w:rFonts w:ascii="Times New Roman" w:hAnsi="Times New Roman"/>
          <w:b w:val="0"/>
          <w:i w:val="0"/>
          <w:sz w:val="20"/>
        </w:rPr>
        <w:t xml:space="preserve"> on a three-level grid (640 / 1024 / 1536 px) against </w:t>
      </w:r>
      <w:r>
        <w:rPr>
          <w:rFonts w:ascii="Times New Roman" w:hAnsi="Times New Roman"/>
          <w:b/>
          <w:i w:val="0"/>
          <w:sz w:val="20"/>
        </w:rPr>
        <w:t>95.9 / 159.3 / 195.7 pp</w:t>
      </w:r>
      <w:r>
        <w:rPr>
          <w:rFonts w:ascii="Times New Roman" w:hAnsi="Times New Roman"/>
          <w:b w:val="0"/>
          <w:i w:val="0"/>
          <w:sz w:val="20"/>
        </w:rPr>
        <w:t xml:space="preserve"> and never crosses. Under </w:t>
      </w:r>
      <w:r>
        <w:rPr>
          <w:rFonts w:ascii="Times New Roman" w:hAnsi="Times New Roman"/>
          <w:b/>
          <w:i w:val="0"/>
          <w:sz w:val="20"/>
        </w:rPr>
        <w:t>all-detections</w:t>
      </w:r>
      <w:r>
        <w:rPr>
          <w:rFonts w:ascii="Times New Roman" w:hAnsi="Times New Roman"/>
          <w:b w:val="0"/>
          <w:i w:val="0"/>
          <w:sz w:val="20"/>
        </w:rPr>
        <w:t xml:space="preserve"> on the same eight-level grid, the zero-shot ladder covers </w:t>
      </w:r>
      <w:r>
        <w:rPr>
          <w:rFonts w:ascii="Times New Roman" w:hAnsi="Times New Roman"/>
          <w:b/>
          <w:i w:val="0"/>
          <w:sz w:val="20"/>
        </w:rPr>
        <w:t>63.1–156.0 pp</w:t>
      </w:r>
      <w:r>
        <w:rPr>
          <w:rFonts w:ascii="Times New Roman" w:hAnsi="Times New Roman"/>
          <w:b w:val="0"/>
          <w:i w:val="0"/>
          <w:sz w:val="20"/>
        </w:rPr>
        <w:t xml:space="preserve"> while the in-domain one covers </w:t>
      </w:r>
      <w:r>
        <w:rPr>
          <w:rFonts w:ascii="Times New Roman" w:hAnsi="Times New Roman"/>
          <w:b/>
          <w:i w:val="0"/>
          <w:sz w:val="20"/>
        </w:rPr>
        <w:t>352.8–508.3 pp</w:t>
      </w:r>
      <w:r>
        <w:rPr>
          <w:rFonts w:ascii="Times New Roman" w:hAnsi="Times New Roman"/>
          <w:b w:val="0"/>
          <w:i w:val="0"/>
          <w:sz w:val="20"/>
        </w:rPr>
        <w:t xml:space="preserve"> (Appendix F.10, M.37).</w:t>
      </w:r>
    </w:p>
    <w:p>
      <w:pPr>
        <w:pStyle w:val="Heading3"/>
      </w:pPr>
      <w:r>
        <w:rPr>
          <w:rFonts w:ascii="Times New Roman" w:hAnsi="Times New Roman"/>
          <w:b/>
          <w:i w:val="0"/>
          <w:sz w:val="20"/>
        </w:rPr>
        <w:t>4.2 Refinement by density binning: the bound holds, but it is a per-tile bound</w:t>
      </w:r>
    </w:p>
    <w:p>
      <w:r>
        <w:rPr>
          <w:rFonts w:ascii="Times New Roman" w:hAnsi="Times New Roman"/>
          <w:b w:val="0"/>
          <w:i w:val="0"/>
          <w:sz w:val="20"/>
        </w:rPr>
        <w:t xml:space="preserve">An earlier reading placed the boundary of reachability at a fixed image-level density. Refining by ground-truth density bin on a fine grid (threshold step 0.005, bootstrap 10,000×) shows the bound is real but </w:t>
      </w:r>
      <w:r>
        <w:rPr>
          <w:rFonts w:ascii="Times New Roman" w:hAnsi="Times New Roman"/>
          <w:b/>
          <w:i w:val="0"/>
          <w:sz w:val="20"/>
        </w:rPr>
        <w:t>belongs to each effective tile, not to the image</w:t>
      </w:r>
      <w:r>
        <w:rPr>
          <w:rFonts w:ascii="Times New Roman" w:hAnsi="Times New Roman"/>
          <w:b w:val="0"/>
          <w:i w:val="0"/>
          <w:sz w:val="20"/>
        </w:rPr>
        <w:t>: the last reachable bin is reached by tiling, and what fails beyond it is the per-tile instance budget.</w:t>
      </w:r>
    </w:p>
    <w:p>
      <w:pPr>
        <w:pStyle w:val="Heading3"/>
      </w:pPr>
      <w:r>
        <w:rPr>
          <w:rFonts w:ascii="Times New Roman" w:hAnsi="Times New Roman"/>
          <w:b/>
          <w:i w:val="0"/>
          <w:sz w:val="20"/>
        </w:rPr>
        <w:t>4.3 The fine τ ladder: where the boundary lies</w:t>
      </w:r>
    </w:p>
    <w:p>
      <w:r>
        <w:rPr>
          <w:rFonts w:ascii="Times New Roman" w:hAnsi="Times New Roman"/>
          <w:b w:val="0"/>
          <w:i w:val="0"/>
          <w:sz w:val="20"/>
        </w:rPr>
        <w:t xml:space="preserve">The published ladders scan τ at different granularities, so the boundary is located on a </w:t>
      </w:r>
      <w:r>
        <w:rPr>
          <w:rFonts w:ascii="Times New Roman" w:hAnsi="Times New Roman"/>
          <w:b/>
          <w:i w:val="0"/>
          <w:sz w:val="20"/>
        </w:rPr>
        <w:t>common grid</w:t>
      </w:r>
      <w:r>
        <w:rPr>
          <w:rFonts w:ascii="Times New Roman" w:hAnsi="Times New Roman"/>
          <w:b w:val="0"/>
          <w:i w:val="0"/>
          <w:sz w:val="20"/>
        </w:rPr>
        <w:t xml:space="preserve"> (per-level tables in Appendix F.8). </w:t>
      </w:r>
      <w:r>
        <w:rPr>
          <w:rFonts w:ascii="Times New Roman" w:hAnsi="Times New Roman"/>
          <w:b/>
          <w:i w:val="0"/>
          <w:sz w:val="20"/>
        </w:rPr>
        <w:t>The threshold-cleaning curve of Fig. 3</w:t>
      </w:r>
      <w:r>
        <w:rPr>
          <w:rFonts w:ascii="Times New Roman" w:hAnsi="Times New Roman"/>
          <w:b w:val="0"/>
          <w:i w:val="0"/>
          <w:sz w:val="20"/>
        </w:rPr>
        <w:t xml:space="preserve"> separates reachable from unreachable levels; the fine-grid magnitudes are read with their grid density (§7.3).</w:t>
      </w:r>
    </w:p>
    <w:p>
      <w:pPr>
        <w:spacing w:line="240" w:lineRule="auto"/>
        <w:jc w:val="center"/>
      </w:pPr>
      <w:r>
        <w:drawing>
          <wp:inline xmlns:a="http://schemas.openxmlformats.org/drawingml/2006/main" xmlns:pic="http://schemas.openxmlformats.org/drawingml/2006/picture">
            <wp:extent cx="2736000" cy="1710000"/>
            <wp:docPr id="3" name="Picture 3"/>
            <wp:cNvGraphicFramePr>
              <a:graphicFrameLocks noChangeAspect="1"/>
            </wp:cNvGraphicFramePr>
            <a:graphic>
              <a:graphicData uri="http://schemas.openxmlformats.org/drawingml/2006/picture">
                <pic:pic>
                  <pic:nvPicPr>
                    <pic:cNvPr id="0" name="F8_tau_cleaning.png"/>
                    <pic:cNvPicPr/>
                  </pic:nvPicPr>
                  <pic:blipFill>
                    <a:blip r:embed="rId12"/>
                    <a:stretch>
                      <a:fillRect/>
                    </a:stretch>
                  </pic:blipFill>
                  <pic:spPr>
                    <a:xfrm>
                      <a:off x="0" y="0"/>
                      <a:ext cx="2736000" cy="1710000"/>
                    </a:xfrm>
                    <a:prstGeom prst="rect"/>
                  </pic:spPr>
                </pic:pic>
              </a:graphicData>
            </a:graphic>
          </wp:inline>
        </w:drawing>
      </w:r>
    </w:p>
    <w:p>
      <w:r>
        <w:rPr>
          <w:rFonts w:ascii="Times New Roman" w:hAnsi="Times New Roman"/>
          <w:b/>
          <w:i w:val="0"/>
          <w:sz w:val="16"/>
        </w:rPr>
        <w:t>Fig. 3.</w:t>
      </w:r>
      <w:r>
        <w:rPr>
          <w:rFonts w:ascii="Times New Roman" w:hAnsi="Times New Roman"/>
          <w:b w:val="0"/>
          <w:i w:val="0"/>
          <w:sz w:val="16"/>
        </w:rPr>
        <w:t xml:space="preserve"> The threshold-cleaning curve separating reachable from unreachable levels.</w:t>
      </w:r>
    </w:p>
    <w:p>
      <w:r>
        <w:rPr>
          <w:rFonts w:ascii="Times New Roman" w:hAnsi="Times New Roman"/>
          <w:b w:val="0"/>
          <w:i w:val="0"/>
          <w:sz w:val="20"/>
        </w:rPr>
        <w:t xml:space="preserve">To rule out a coarse-grid artefact we repeat the scan on a </w:t>
      </w:r>
      <w:r>
        <w:rPr>
          <w:rFonts w:ascii="Times New Roman" w:hAnsi="Times New Roman"/>
          <w:b/>
          <w:i w:val="0"/>
          <w:sz w:val="20"/>
        </w:rPr>
        <w:t>fine grid</w:t>
      </w:r>
      <w:r>
        <w:rPr>
          <w:rFonts w:ascii="Times New Roman" w:hAnsi="Times New Roman"/>
          <w:b w:val="0"/>
          <w:i w:val="0"/>
          <w:sz w:val="20"/>
        </w:rPr>
        <w:t xml:space="preserve"> — τ from 0.02 to 0.90 in steps of 0.005 (</w:t>
      </w:r>
      <w:r>
        <w:rPr>
          <w:rFonts w:ascii="Times New Roman" w:hAnsi="Times New Roman"/>
          <w:b/>
          <w:i w:val="0"/>
          <w:sz w:val="20"/>
        </w:rPr>
        <w:t>177 points</w:t>
      </w:r>
      <w:r>
        <w:rPr>
          <w:rFonts w:ascii="Times New Roman" w:hAnsi="Times New Roman"/>
          <w:b w:val="0"/>
          <w:i w:val="0"/>
          <w:sz w:val="20"/>
        </w:rPr>
        <w:t xml:space="preserve">), with </w:t>
      </w:r>
      <w:r>
        <w:rPr>
          <w:rFonts w:ascii="Times New Roman" w:hAnsi="Times New Roman"/>
          <w:b/>
          <w:i w:val="0"/>
          <w:sz w:val="20"/>
        </w:rPr>
        <w:t>4,000× bootstrap image resampling</w:t>
      </w:r>
      <w:r>
        <w:rPr>
          <w:rFonts w:ascii="Times New Roman" w:hAnsi="Times New Roman"/>
          <w:b w:val="0"/>
          <w:i w:val="0"/>
          <w:sz w:val="20"/>
        </w:rPr>
        <w:t xml:space="preserve"> for the 95% interval of τ^\</w:t>
      </w:r>
      <w:r>
        <w:rPr>
          <w:rFonts w:ascii="Times New Roman" w:hAnsi="Times New Roman"/>
          <w:b w:val="0"/>
          <w:i/>
          <w:sz w:val="20"/>
        </w:rPr>
        <w:t>; every weight file is matched to a unique result table by an `n_raw` fingerprint (</w:t>
      </w:r>
      <w:r>
        <w:rPr>
          <w:rFonts w:ascii="Times New Roman" w:hAnsi="Times New Roman"/>
          <w:b w:val="0"/>
          <w:i/>
          <w:sz w:val="20"/>
        </w:rPr>
        <w:t>100% match</w:t>
      </w:r>
      <w:r>
        <w:rPr>
          <w:rFonts w:ascii="Times New Roman" w:hAnsi="Times New Roman"/>
          <w:b w:val="0"/>
          <w:i/>
          <w:sz w:val="20"/>
        </w:rPr>
        <w:t>). Tiling moves UCF from unreachable to reachable (τ^\</w:t>
      </w:r>
      <w:r>
        <w:rPr>
          <w:rFonts w:ascii="Times New Roman" w:hAnsi="Times New Roman"/>
          <w:b w:val="0"/>
          <w:i w:val="0"/>
          <w:sz w:val="20"/>
        </w:rPr>
        <w:t xml:space="preserve"> 0.121–0.152): protocol and threshold jointly determine reachability. (M.9)</w:t>
      </w:r>
    </w:p>
    <w:p>
      <w:pPr>
        <w:pStyle w:val="Heading3"/>
      </w:pPr>
      <w:r>
        <w:rPr>
          <w:rFonts w:ascii="Times New Roman" w:hAnsi="Times New Roman"/>
          <w:b/>
          <w:i w:val="0"/>
          <w:sz w:val="20"/>
        </w:rPr>
        <w:t>4.4 A second knob: NMS IoU and input scale</w:t>
      </w:r>
    </w:p>
    <w:p>
      <w:r>
        <w:rPr>
          <w:rFonts w:ascii="Times New Roman" w:hAnsi="Times New Roman"/>
          <w:b w:val="0"/>
          <w:i w:val="0"/>
          <w:sz w:val="20"/>
        </w:rPr>
        <w:t xml:space="preserve">The threshold is not the only quantity bearing on reachability. </w:t>
      </w:r>
      <w:r>
        <w:rPr>
          <w:rFonts w:ascii="Times New Roman" w:hAnsi="Times New Roman"/>
          <w:b/>
          <w:i w:val="0"/>
          <w:sz w:val="20"/>
        </w:rPr>
        <w:t>NMS IoU is a second knob</w:t>
      </w:r>
      <w:r>
        <w:rPr>
          <w:rFonts w:ascii="Times New Roman" w:hAnsi="Times New Roman"/>
          <w:b w:val="0"/>
          <w:i w:val="0"/>
          <w:sz w:val="20"/>
        </w:rPr>
        <w:t>: it moves τ^\</w:t>
      </w:r>
      <w:r>
        <w:rPr>
          <w:rFonts w:ascii="Times New Roman" w:hAnsi="Times New Roman"/>
          <w:b w:val="0"/>
          <w:i/>
          <w:sz w:val="20"/>
        </w:rPr>
        <w:t xml:space="preserve"> monotonically </w:t>
      </w:r>
      <w:r>
        <w:rPr>
          <w:rFonts w:ascii="Times New Roman" w:hAnsi="Times New Roman"/>
          <w:b w:val="0"/>
          <w:i/>
          <w:sz w:val="20"/>
        </w:rPr>
        <w:t>0.038</w:t>
      </w:r>
      <w:r>
        <w:rPr>
          <w:rFonts w:ascii="Times New Roman" w:hAnsi="Times New Roman"/>
          <w:b w:val="0"/>
          <w:i/>
          <w:sz w:val="20"/>
        </w:rPr>
        <w:t xml:space="preserve"> (IoU 0.5) → </w:t>
      </w:r>
      <w:r>
        <w:rPr>
          <w:rFonts w:ascii="Times New Roman" w:hAnsi="Times New Roman"/>
          <w:b w:val="0"/>
          <w:i/>
          <w:sz w:val="20"/>
        </w:rPr>
        <w:t>0.073</w:t>
      </w:r>
      <w:r>
        <w:rPr>
          <w:rFonts w:ascii="Times New Roman" w:hAnsi="Times New Roman"/>
          <w:b w:val="0"/>
          <w:i/>
          <w:sz w:val="20"/>
        </w:rPr>
        <w:t xml:space="preserve"> (0.6) → </w:t>
      </w:r>
      <w:r>
        <w:rPr>
          <w:rFonts w:ascii="Times New Roman" w:hAnsi="Times New Roman"/>
          <w:b w:val="0"/>
          <w:i/>
          <w:sz w:val="20"/>
        </w:rPr>
        <w:t>0.121</w:t>
      </w:r>
      <w:r>
        <w:rPr>
          <w:rFonts w:ascii="Times New Roman" w:hAnsi="Times New Roman"/>
          <w:b w:val="0"/>
          <w:i/>
          <w:sz w:val="20"/>
        </w:rPr>
        <w:t xml:space="preserve"> (0.7), while inference input scale matters much less — 640 / 1024 / 1280 give </w:t>
      </w:r>
      <w:r>
        <w:rPr>
          <w:rFonts w:ascii="Times New Roman" w:hAnsi="Times New Roman"/>
          <w:b w:val="0"/>
          <w:i/>
          <w:sz w:val="20"/>
        </w:rPr>
        <w:t>0.117 / 0.121 / 0.131</w:t>
      </w:r>
      <w:r>
        <w:rPr>
          <w:rFonts w:ascii="Times New Roman" w:hAnsi="Times New Roman"/>
          <w:b w:val="0"/>
          <w:i/>
          <w:sz w:val="20"/>
        </w:rPr>
        <w:t xml:space="preserve"> (E.2). Controllability is therefore a property of the </w:t>
      </w:r>
      <w:r>
        <w:rPr>
          <w:rFonts w:ascii="Times New Roman" w:hAnsi="Times New Roman"/>
          <w:b w:val="0"/>
          <w:i/>
          <w:sz w:val="20"/>
        </w:rPr>
        <w:t>joint</w:t>
      </w:r>
      <w:r>
        <w:rPr>
          <w:rFonts w:ascii="Times New Roman" w:hAnsi="Times New Roman"/>
          <w:b w:val="0"/>
          <w:i w:val="0"/>
          <w:sz w:val="20"/>
        </w:rPr>
        <w:t>* configuration of threshold, NMS IoU and input protocol, not of one scalar.</w:t>
      </w:r>
    </w:p>
    <w:p>
      <w:pPr>
        <w:pStyle w:val="Heading3"/>
      </w:pPr>
      <w:r>
        <w:rPr>
          <w:rFonts w:ascii="Times New Roman" w:hAnsi="Times New Roman"/>
          <w:b/>
          <w:i w:val="0"/>
          <w:sz w:val="20"/>
        </w:rPr>
        <w:t>4.5 Tile granularity: a third knob, which can turn unreachable into reachable</w:t>
      </w:r>
    </w:p>
    <w:p>
      <w:r>
        <w:rPr>
          <w:rFonts w:ascii="Times New Roman" w:hAnsi="Times New Roman"/>
          <w:b w:val="0"/>
          <w:i w:val="0"/>
          <w:sz w:val="20"/>
        </w:rPr>
        <w:t xml:space="preserve">Extending the ladder to </w:t>
      </w:r>
      <w:r>
        <w:rPr>
          <w:rFonts w:ascii="Times New Roman" w:hAnsi="Times New Roman"/>
          <w:b/>
          <w:i w:val="0"/>
          <w:sz w:val="20"/>
        </w:rPr>
        <w:t>tile-512 and tile-256</w:t>
      </w:r>
      <w:r>
        <w:rPr>
          <w:rFonts w:ascii="Times New Roman" w:hAnsi="Times New Roman"/>
          <w:b w:val="0"/>
          <w:i w:val="0"/>
          <w:sz w:val="20"/>
        </w:rPr>
        <w:t xml:space="preserve"> across </w:t>
      </w:r>
      <w:r>
        <w:rPr>
          <w:rFonts w:ascii="Times New Roman" w:hAnsi="Times New Roman"/>
          <w:b/>
          <w:i w:val="0"/>
          <w:sz w:val="20"/>
        </w:rPr>
        <w:t>two detector families</w:t>
      </w:r>
      <w:r>
        <w:rPr>
          <w:rFonts w:ascii="Times New Roman" w:hAnsi="Times New Roman"/>
          <w:b w:val="0"/>
          <w:i w:val="0"/>
          <w:sz w:val="20"/>
        </w:rPr>
        <w:t xml:space="preserve"> under the identical protocol (E.3, M.16) gives two readings: </w:t>
      </w:r>
      <w:r>
        <w:rPr>
          <w:rFonts w:ascii="Times New Roman" w:hAnsi="Times New Roman"/>
          <w:b/>
          <w:i w:val="0"/>
          <w:sz w:val="20"/>
        </w:rPr>
        <w:t>tile granularity can rescue an unreachable configuration</w:t>
      </w:r>
      <w:r>
        <w:rPr>
          <w:rFonts w:ascii="Times New Roman" w:hAnsi="Times New Roman"/>
          <w:b w:val="0"/>
          <w:i w:val="0"/>
          <w:sz w:val="20"/>
        </w:rPr>
        <w:t xml:space="preserve"> — unreachable at tile-1024 becomes reachable at tile-512 — so unreachability is a </w:t>
      </w:r>
      <w:r>
        <w:rPr>
          <w:rFonts w:ascii="Times New Roman" w:hAnsi="Times New Roman"/>
          <w:b/>
          <w:i w:val="0"/>
          <w:sz w:val="20"/>
        </w:rPr>
        <w:t>joint property of domain × protocol</w:t>
      </w:r>
      <w:r>
        <w:rPr>
          <w:rFonts w:ascii="Times New Roman" w:hAnsi="Times New Roman"/>
          <w:b w:val="0"/>
          <w:i w:val="0"/>
          <w:sz w:val="20"/>
        </w:rPr>
        <w:t>; and the pre-FPN architecture needs finer tiling to unseal the same domain.</w:t>
      </w:r>
    </w:p>
    <w:p>
      <w:pPr>
        <w:pStyle w:val="Heading3"/>
      </w:pPr>
      <w:r>
        <w:rPr>
          <w:rFonts w:ascii="Times New Roman" w:hAnsi="Times New Roman"/>
          <w:b/>
          <w:i w:val="0"/>
          <w:sz w:val="20"/>
        </w:rPr>
        <w:t>4.6 The direction of τ^\* under finer tiling is not family-invariant</w:t>
      </w:r>
    </w:p>
    <w:p>
      <w:r>
        <w:rPr>
          <w:rFonts w:ascii="Times New Roman" w:hAnsi="Times New Roman"/>
          <w:b w:val="0"/>
          <w:i w:val="0"/>
          <w:sz w:val="20"/>
        </w:rPr>
        <w:t>"Finer tiles raise τ^\</w:t>
      </w:r>
      <w:r>
        <w:rPr>
          <w:rFonts w:ascii="Times New Roman" w:hAnsi="Times New Roman"/>
          <w:b w:val="0"/>
          <w:i/>
          <w:sz w:val="20"/>
        </w:rPr>
        <w:t xml:space="preserve">" holds for RetinaNet — monotone on UCF-QNRF [47] (0.124 → 0.225 → 0.306) and ShanghaiTech-A (unreachable → 0.124 → 0.237) — and </w:t>
      </w:r>
      <w:r>
        <w:rPr>
          <w:rFonts w:ascii="Times New Roman" w:hAnsi="Times New Roman"/>
          <w:b w:val="0"/>
          <w:i/>
          <w:sz w:val="20"/>
        </w:rPr>
        <w:t>fails</w:t>
      </w:r>
      <w:r>
        <w:rPr>
          <w:rFonts w:ascii="Times New Roman" w:hAnsi="Times New Roman"/>
          <w:b w:val="0"/>
          <w:i w:val="0"/>
          <w:sz w:val="20"/>
        </w:rPr>
        <w:t>* for YOLO (UCF 0.121 → 0.176 → 0.173; ShanghaiTech-A unreachable → 0.260 → 0.183).</w:t>
      </w:r>
    </w:p>
    <w:p>
      <w:pPr>
        <w:pStyle w:val="Heading3"/>
      </w:pPr>
      <w:r>
        <w:rPr>
          <w:rFonts w:ascii="Times New Roman" w:hAnsi="Times New Roman"/>
          <w:b/>
          <w:i w:val="0"/>
          <w:sz w:val="20"/>
        </w:rPr>
        <w:t>4.7 "Crossing zero" must specify which zero</w:t>
      </w:r>
    </w:p>
    <w:p>
      <w:r>
        <w:rPr>
          <w:rFonts w:ascii="Times New Roman" w:hAnsi="Times New Roman"/>
          <w:b w:val="0"/>
          <w:i w:val="0"/>
          <w:sz w:val="20"/>
        </w:rPr>
        <w:t xml:space="preserve">The phrase presumes the zero is unique; it is not. The cascade identity max|δ_U - (δ_T - δ_H)| = 0 holds </w:t>
      </w:r>
      <w:r>
        <w:rPr>
          <w:rFonts w:ascii="Times New Roman" w:hAnsi="Times New Roman"/>
          <w:b/>
          <w:i w:val="0"/>
          <w:sz w:val="20"/>
        </w:rPr>
        <w:t>exactly per image</w:t>
      </w:r>
      <w:r>
        <w:rPr>
          <w:rFonts w:ascii="Times New Roman" w:hAnsi="Times New Roman"/>
          <w:b w:val="0"/>
          <w:i w:val="0"/>
          <w:sz w:val="20"/>
        </w:rPr>
        <w:t xml:space="preserve"> over the </w:t>
      </w:r>
      <w:r>
        <w:rPr>
          <w:rFonts w:ascii="Times New Roman" w:hAnsi="Times New Roman"/>
          <w:b/>
          <w:i w:val="0"/>
          <w:sz w:val="20"/>
        </w:rPr>
        <w:t>6,033</w:t>
      </w:r>
      <w:r>
        <w:rPr>
          <w:rFonts w:ascii="Times New Roman" w:hAnsi="Times New Roman"/>
          <w:b w:val="0"/>
          <w:i w:val="0"/>
          <w:sz w:val="20"/>
        </w:rPr>
        <w:t xml:space="preserve"> held-out images — a </w:t>
      </w:r>
      <w:r>
        <w:rPr>
          <w:rFonts w:ascii="Times New Roman" w:hAnsi="Times New Roman"/>
          <w:b/>
          <w:i w:val="0"/>
          <w:sz w:val="20"/>
        </w:rPr>
        <w:t>definitional identity</w:t>
      </w:r>
      <w:r>
        <w:rPr>
          <w:rFonts w:ascii="Times New Roman" w:hAnsi="Times New Roman"/>
          <w:b w:val="0"/>
          <w:i w:val="0"/>
          <w:sz w:val="20"/>
        </w:rPr>
        <w:t>, so any two of the three quantities determine the third (Appendix M.9).</w:t>
      </w:r>
    </w:p>
    <w:p>
      <w:pPr>
        <w:pStyle w:val="Heading2"/>
      </w:pPr>
      <w:r>
        <w:rPr>
          <w:rFonts w:ascii="Times New Roman" w:hAnsi="Times New Roman"/>
          <w:b/>
          <w:i w:val="0"/>
          <w:sz w:val="24"/>
        </w:rPr>
        <w:t>5. Results II: Vision-language models — abstention is the leading failure mode</w:t>
      </w:r>
    </w:p>
    <w:p>
      <w:pPr>
        <w:pStyle w:val="Heading3"/>
      </w:pPr>
      <w:r>
        <w:rPr>
          <w:rFonts w:ascii="Times New Roman" w:hAnsi="Times New Roman"/>
          <w:b/>
          <w:i w:val="0"/>
          <w:sz w:val="20"/>
        </w:rPr>
        <w:t>5.1 Screening and the full SFCHD cross-paradigm comparison</w:t>
      </w:r>
    </w:p>
    <w:p>
      <w:r>
        <w:rPr>
          <w:rFonts w:ascii="Times New Roman" w:hAnsi="Times New Roman"/>
          <w:b w:val="0"/>
          <w:i w:val="0"/>
          <w:sz w:val="20"/>
        </w:rPr>
        <w:t>Screening on the sparse end (SFCHD, 12,066 images) across three arms and two stacks establishes the baseline for the rest of the section: on sparse, clearly visible targets, the three-arm prompts move the direction as expected but at small amplitudes, and abstention is negligible.</w:t>
      </w:r>
    </w:p>
    <w:p>
      <w:pPr>
        <w:pStyle w:val="Heading3"/>
      </w:pPr>
      <w:r>
        <w:rPr>
          <w:rFonts w:ascii="Times New Roman" w:hAnsi="Times New Roman"/>
          <w:b/>
          <w:i w:val="0"/>
          <w:sz w:val="20"/>
        </w:rPr>
        <w:t>5.2 Target granularity changes the sign and magnitude of the conclusion</w:t>
      </w:r>
    </w:p>
    <w:p>
      <w:r>
        <w:rPr>
          <w:rFonts w:ascii="Times New Roman" w:hAnsi="Times New Roman"/>
          <w:b w:val="0"/>
          <w:i w:val="0"/>
          <w:sz w:val="20"/>
        </w:rPr>
        <w:t xml:space="preserve">Running both target conventions on SFCHD (head-level versus whole-person) under the three directional arms shows that ρ and the abstention rate are </w:t>
      </w:r>
      <w:r>
        <w:rPr>
          <w:rFonts w:ascii="Times New Roman" w:hAnsi="Times New Roman"/>
          <w:b/>
          <w:i w:val="0"/>
          <w:sz w:val="20"/>
        </w:rPr>
        <w:t>not interchangeable</w:t>
      </w:r>
      <w:r>
        <w:rPr>
          <w:rFonts w:ascii="Times New Roman" w:hAnsi="Times New Roman"/>
          <w:b w:val="0"/>
          <w:i w:val="0"/>
          <w:sz w:val="20"/>
        </w:rPr>
        <w:t xml:space="preserve"> between conventions.</w:t>
      </w:r>
    </w:p>
    <w:p>
      <w:pPr>
        <w:pStyle w:val="Heading3"/>
      </w:pPr>
      <w:r>
        <w:rPr>
          <w:rFonts w:ascii="Times New Roman" w:hAnsi="Times New Roman"/>
          <w:b/>
          <w:i w:val="0"/>
          <w:sz w:val="20"/>
        </w:rPr>
        <w:t>5.3 Sparse-domain three-arm directional induction</w:t>
      </w:r>
    </w:p>
    <w:p>
      <w:r>
        <w:rPr>
          <w:rFonts w:ascii="Times New Roman" w:hAnsi="Times New Roman"/>
          <w:b w:val="0"/>
          <w:i w:val="0"/>
          <w:sz w:val="20"/>
        </w:rPr>
        <w:t xml:space="preserve">On the full sparse set (12,066 items × 3 arms × 2 stacks) the prompts move the direction monotonically and reproducibly, the </w:t>
      </w:r>
      <w:r>
        <w:rPr>
          <w:rFonts w:ascii="Times New Roman" w:hAnsi="Times New Roman"/>
          <w:b w:val="0"/>
          <w:i/>
          <w:sz w:val="20"/>
        </w:rPr>
        <w:t>under</w:t>
      </w:r>
      <w:r>
        <w:rPr>
          <w:rFonts w:ascii="Times New Roman" w:hAnsi="Times New Roman"/>
          <w:b w:val="0"/>
          <w:i w:val="0"/>
          <w:sz w:val="20"/>
        </w:rPr>
        <w:t xml:space="preserve"> arm producing systematic under-counting and the </w:t>
      </w:r>
      <w:r>
        <w:rPr>
          <w:rFonts w:ascii="Times New Roman" w:hAnsi="Times New Roman"/>
          <w:b w:val="0"/>
          <w:i/>
          <w:sz w:val="20"/>
        </w:rPr>
        <w:t>over</w:t>
      </w:r>
      <w:r>
        <w:rPr>
          <w:rFonts w:ascii="Times New Roman" w:hAnsi="Times New Roman"/>
          <w:b w:val="0"/>
          <w:i w:val="0"/>
          <w:sz w:val="20"/>
        </w:rPr>
        <w:t xml:space="preserve"> arm over-counting. Because abstention is near zero here, this setting isolates </w:t>
      </w:r>
      <w:r>
        <w:rPr>
          <w:rFonts w:ascii="Times New Roman" w:hAnsi="Times New Roman"/>
          <w:b/>
          <w:i w:val="0"/>
          <w:sz w:val="20"/>
        </w:rPr>
        <w:t>directional</w:t>
      </w:r>
      <w:r>
        <w:rPr>
          <w:rFonts w:ascii="Times New Roman" w:hAnsi="Times New Roman"/>
          <w:b w:val="0"/>
          <w:i w:val="0"/>
          <w:sz w:val="20"/>
        </w:rPr>
        <w:t xml:space="preserve"> control from </w:t>
      </w:r>
      <w:r>
        <w:rPr>
          <w:rFonts w:ascii="Times New Roman" w:hAnsi="Times New Roman"/>
          <w:b/>
          <w:i w:val="0"/>
          <w:sz w:val="20"/>
        </w:rPr>
        <w:t>abstention</w:t>
      </w:r>
      <w:r>
        <w:rPr>
          <w:rFonts w:ascii="Times New Roman" w:hAnsi="Times New Roman"/>
          <w:b w:val="0"/>
          <w:i w:val="0"/>
          <w:sz w:val="20"/>
        </w:rPr>
        <w:t xml:space="preserve"> control — a separation useful in §5.7.</w:t>
      </w:r>
    </w:p>
    <w:p>
      <w:pPr>
        <w:pStyle w:val="Heading3"/>
      </w:pPr>
      <w:r>
        <w:rPr>
          <w:rFonts w:ascii="Times New Roman" w:hAnsi="Times New Roman"/>
          <w:b/>
          <w:i w:val="0"/>
          <w:sz w:val="20"/>
        </w:rPr>
        <w:t>5.4 Cross-domain abstention summary</w:t>
      </w:r>
    </w:p>
    <w:p>
      <w:r>
        <w:rPr>
          <w:rFonts w:ascii="Times New Roman" w:hAnsi="Times New Roman"/>
          <w:b w:val="0"/>
          <w:i w:val="0"/>
          <w:sz w:val="20"/>
        </w:rPr>
        <w:t xml:space="preserve">Aggregating over domains, the abstention rate is </w:t>
      </w:r>
      <w:r>
        <w:rPr>
          <w:rFonts w:ascii="Times New Roman" w:hAnsi="Times New Roman"/>
          <w:b/>
          <w:i w:val="0"/>
          <w:sz w:val="20"/>
        </w:rPr>
        <w:t>not</w:t>
      </w:r>
      <w:r>
        <w:rPr>
          <w:rFonts w:ascii="Times New Roman" w:hAnsi="Times New Roman"/>
          <w:b w:val="0"/>
          <w:i w:val="0"/>
          <w:sz w:val="20"/>
        </w:rPr>
        <w:t xml:space="preserve"> ordered by object count: it is highest in the dense-crowd and aerial domains and essentially zero in the clearly-resolved ones, although the latter carry </w:t>
      </w:r>
      <w:r>
        <w:rPr>
          <w:rFonts w:ascii="Times New Roman" w:hAnsi="Times New Roman"/>
          <w:b/>
          <w:i w:val="0"/>
          <w:sz w:val="20"/>
        </w:rPr>
        <w:t>more</w:t>
      </w:r>
      <w:r>
        <w:rPr>
          <w:rFonts w:ascii="Times New Roman" w:hAnsi="Times New Roman"/>
          <w:b w:val="0"/>
          <w:i w:val="0"/>
          <w:sz w:val="20"/>
        </w:rPr>
        <w:t xml:space="preserve"> targets per image (§5.6 identifies the ordering variable). (M.29)</w:t>
      </w:r>
    </w:p>
    <w:p>
      <w:pPr>
        <w:pStyle w:val="Heading3"/>
      </w:pPr>
      <w:r>
        <w:rPr>
          <w:rFonts w:ascii="Times New Roman" w:hAnsi="Times New Roman"/>
          <w:b/>
          <w:i w:val="0"/>
          <w:sz w:val="20"/>
        </w:rPr>
        <w:t>5.5 Decomposing the under-count: abstention versus answering</w:t>
      </w:r>
    </w:p>
    <w:p>
      <w:r>
        <w:rPr>
          <w:rFonts w:ascii="Times New Roman" w:hAnsi="Times New Roman"/>
          <w:b w:val="0"/>
          <w:i w:val="0"/>
          <w:sz w:val="20"/>
        </w:rPr>
        <w:t xml:space="preserve">By </w:t>
      </w:r>
      <w:r>
        <w:rPr>
          <w:rFonts w:ascii="Times New Roman" w:hAnsi="Times New Roman"/>
          <w:b/>
          <w:i w:val="0"/>
          <w:sz w:val="20"/>
        </w:rPr>
        <w:t>Proposition 4</w:t>
      </w:r>
      <w:r>
        <w:rPr>
          <w:rFonts w:ascii="Times New Roman" w:hAnsi="Times New Roman"/>
          <w:b w:val="0"/>
          <w:i w:val="0"/>
          <w:sz w:val="20"/>
        </w:rPr>
        <w:t xml:space="preserve"> the total under-count is an abstention term plus a scaled answering term, and the </w:t>
      </w:r>
      <w:r>
        <w:rPr>
          <w:rFonts w:ascii="Times New Roman" w:hAnsi="Times New Roman"/>
          <w:b/>
          <w:i w:val="0"/>
          <w:sz w:val="20"/>
        </w:rPr>
        <w:t>GT-weighted under-count share</w:t>
      </w:r>
      <w:r>
        <w:rPr>
          <w:rFonts w:ascii="Times New Roman" w:hAnsi="Times New Roman"/>
          <w:b w:val="0"/>
          <w:i w:val="0"/>
          <w:sz w:val="20"/>
        </w:rPr>
        <w:t xml:space="preserve"> of zero-output items has the closed form S=(1-w)/[1-w(1+ρ_answered)]; evaluated here it gives </w:t>
      </w:r>
      <w:r>
        <w:rPr>
          <w:rFonts w:ascii="Times New Roman" w:hAnsi="Times New Roman"/>
          <w:b/>
          <w:i w:val="0"/>
          <w:sz w:val="20"/>
        </w:rPr>
        <w:t>82–94%</w:t>
      </w:r>
      <w:r>
        <w:rPr>
          <w:rFonts w:ascii="Times New Roman" w:hAnsi="Times New Roman"/>
          <w:b w:val="0"/>
          <w:i w:val="0"/>
          <w:sz w:val="20"/>
        </w:rPr>
        <w:t xml:space="preserve"> on the four dense and aerial domains </w:t>
      </w:r>
      <w:r>
        <w:rPr>
          <w:rFonts w:ascii="Times New Roman" w:hAnsi="Times New Roman"/>
          <w:b/>
          <w:i w:val="0"/>
          <w:sz w:val="20"/>
        </w:rPr>
        <w:t>under the base contract arm, Chinese prompts, one anchor build, and the ground-truth-weighted convention</w:t>
      </w:r>
      <w:r>
        <w:rPr>
          <w:rFonts w:ascii="Times New Roman" w:hAnsi="Times New Roman"/>
          <w:b w:val="0"/>
          <w:i w:val="0"/>
          <w:sz w:val="20"/>
        </w:rPr>
        <w:t xml:space="preserve"> (M.19.15: only the defining checkpoint's two precisions clear 50%) (three of twenty (language × build) cells leave the unit interval; M.18.9, M.19.16(ii), M.39, M.46(c)). </w:t>
      </w:r>
      <w:r>
        <w:rPr>
          <w:rFonts w:ascii="Times New Roman" w:hAnsi="Times New Roman"/>
          <w:b/>
          <w:i w:val="0"/>
          <w:sz w:val="20"/>
        </w:rPr>
        <w:t>The measured 82–94% is the GT-weighted contribution of answered-zero items for the specified build, language and base contract; interpreting individual zeros as abstentions remains conditional on channel purity and exhaustiveness.</w:t>
      </w:r>
      <w:r>
        <w:rPr>
          <w:rFonts w:ascii="Times New Roman" w:hAnsi="Times New Roman"/>
          <w:b w:val="0"/>
          <w:i w:val="0"/>
          <w:sz w:val="20"/>
        </w:rPr>
        <w:t xml:space="preserve"> (Appendix M.9)</w:t>
      </w:r>
    </w:p>
    <w:p>
      <w:r>
        <w:rPr>
          <w:rFonts w:ascii="Times New Roman" w:hAnsi="Times New Roman"/>
          <w:b/>
          <w:i w:val="0"/>
          <w:sz w:val="20"/>
        </w:rPr>
        <w:t>Table 3.</w:t>
      </w:r>
      <w:r>
        <w:rPr>
          <w:rFonts w:ascii="Times New Roman" w:hAnsi="Times New Roman"/>
          <w:b w:val="0"/>
          <w:i w:val="0"/>
          <w:sz w:val="20"/>
        </w:rPr>
        <w:t xml:space="preserve"> Proposition 4's terms on the four headline domains.</w:t>
      </w:r>
    </w:p>
    <w:tbl>
      <w:tblPr>
        <w:tblW w:type="auto" w:w="0"/>
        <w:tblLook w:firstColumn="1" w:firstRow="1" w:lastColumn="0" w:lastRow="0" w:noHBand="0" w:noVBand="1" w:val="04A0"/>
        <w:tblBorders>
          <w:top w:val="single" w:sz="4" w:color="000000"/>
          <w:bottom w:val="single" w:sz="4" w:color="000000"/>
          <w:insideH w:val="single" w:sz="4" w:color="000000"/>
          <w:left w:val="none" w:sz="0"/>
          <w:right w:val="none" w:sz="0"/>
          <w:insideV w:val="none" w:sz="0"/>
        </w:tblBorders>
      </w:tblPr>
      <w:tblGrid>
        <w:gridCol w:w="1293"/>
        <w:gridCol w:w="1293"/>
        <w:gridCol w:w="1293"/>
        <w:gridCol w:w="1293"/>
        <w:gridCol w:w="1293"/>
      </w:tblGrid>
      <w:tr>
        <w:tc>
          <w:tcPr>
            <w:tcW w:type="dxa" w:w="1293"/>
          </w:tcPr>
          <w:p>
            <w:pPr>
              <w:spacing w:line="240" w:lineRule="auto" w:after="0"/>
            </w:pPr>
            <w:r>
              <w:rPr>
                <w:rFonts w:ascii="Times New Roman" w:hAnsi="Times New Roman"/>
                <w:b/>
                <w:i w:val="0"/>
                <w:sz w:val="20"/>
              </w:rPr>
              <w:t>Domain (anchor build)</w:t>
            </w:r>
          </w:p>
        </w:tc>
        <w:tc>
          <w:tcPr>
            <w:tcW w:type="dxa" w:w="1293"/>
          </w:tcPr>
          <w:p>
            <w:pPr>
              <w:spacing w:line="240" w:lineRule="auto" w:after="0"/>
            </w:pPr>
            <w:r>
              <w:rPr>
                <w:rFonts w:ascii="Times New Roman" w:hAnsi="Times New Roman"/>
                <w:b/>
                <w:i w:val="0"/>
                <w:sz w:val="20"/>
              </w:rPr>
              <w:t>abstention term</w:t>
            </w:r>
          </w:p>
        </w:tc>
        <w:tc>
          <w:tcPr>
            <w:tcW w:type="dxa" w:w="1293"/>
          </w:tcPr>
          <w:p>
            <w:pPr>
              <w:spacing w:line="240" w:lineRule="auto" w:after="0"/>
            </w:pPr>
            <w:r>
              <w:rPr>
                <w:rFonts w:ascii="Times New Roman" w:hAnsi="Times New Roman"/>
                <w:b/>
                <w:i w:val="0"/>
                <w:sz w:val="20"/>
              </w:rPr>
              <w:t>answering term</w:t>
            </w:r>
          </w:p>
        </w:tc>
        <w:tc>
          <w:tcPr>
            <w:tcW w:type="dxa" w:w="1293"/>
          </w:tcPr>
          <w:p>
            <w:pPr>
              <w:spacing w:line="240" w:lineRule="auto" w:after="0"/>
            </w:pPr>
            <w:r>
              <w:rPr>
                <w:rFonts w:ascii="Times New Roman" w:hAnsi="Times New Roman"/>
                <w:b/>
                <w:i w:val="0"/>
                <w:sz w:val="20"/>
              </w:rPr>
              <w:t>S</w:t>
            </w:r>
          </w:p>
        </w:tc>
        <w:tc>
          <w:tcPr>
            <w:tcW w:type="dxa" w:w="1293"/>
          </w:tcPr>
          <w:p>
            <w:pPr>
              <w:spacing w:line="240" w:lineRule="auto" w:after="0"/>
            </w:pPr>
            <w:r>
              <w:rPr>
                <w:rFonts w:ascii="Times New Roman" w:hAnsi="Times New Roman"/>
                <w:b/>
                <w:i w:val="0"/>
                <w:sz w:val="20"/>
              </w:rPr>
              <w:t>abstention rate, item-count convention</w:t>
            </w:r>
          </w:p>
        </w:tc>
      </w:tr>
      <w:tr>
        <w:tc>
          <w:tcPr>
            <w:tcW w:type="dxa" w:w="1293"/>
          </w:tcPr>
          <w:p>
            <w:pPr>
              <w:spacing w:line="240" w:lineRule="auto" w:after="0"/>
            </w:pPr>
            <w:r>
              <w:rPr>
                <w:rFonts w:ascii="Times New Roman" w:hAnsi="Times New Roman"/>
                <w:b w:val="0"/>
                <w:i w:val="0"/>
                <w:sz w:val="20"/>
              </w:rPr>
              <w:t>ShanghaiTech-A</w:t>
            </w:r>
          </w:p>
        </w:tc>
        <w:tc>
          <w:tcPr>
            <w:tcW w:type="dxa" w:w="1293"/>
          </w:tcPr>
          <w:p>
            <w:pPr>
              <w:spacing w:line="240" w:lineRule="auto" w:after="0"/>
            </w:pPr>
            <w:r>
              <w:rPr>
                <w:rFonts w:ascii="Times New Roman" w:hAnsi="Times New Roman"/>
                <w:b/>
                <w:i w:val="0"/>
                <w:sz w:val="20"/>
              </w:rPr>
              <w:t>−76.41</w:t>
            </w:r>
          </w:p>
        </w:tc>
        <w:tc>
          <w:tcPr>
            <w:tcW w:type="dxa" w:w="1293"/>
          </w:tcPr>
          <w:p>
            <w:pPr>
              <w:spacing w:line="240" w:lineRule="auto" w:after="0"/>
            </w:pPr>
            <w:r>
              <w:rPr>
                <w:rFonts w:ascii="Times New Roman" w:hAnsi="Times New Roman"/>
                <w:b w:val="0"/>
                <w:i w:val="0"/>
                <w:sz w:val="20"/>
              </w:rPr>
              <w:t>−4.67</w:t>
            </w:r>
          </w:p>
        </w:tc>
        <w:tc>
          <w:tcPr>
            <w:tcW w:type="dxa" w:w="1293"/>
          </w:tcPr>
          <w:p>
            <w:pPr>
              <w:spacing w:line="240" w:lineRule="auto" w:after="0"/>
            </w:pPr>
            <w:r>
              <w:rPr>
                <w:rFonts w:ascii="Times New Roman" w:hAnsi="Times New Roman"/>
                <w:b/>
                <w:i w:val="0"/>
                <w:sz w:val="20"/>
              </w:rPr>
              <w:t>94.2%</w:t>
            </w:r>
          </w:p>
        </w:tc>
        <w:tc>
          <w:tcPr>
            <w:tcW w:type="dxa" w:w="1293"/>
          </w:tcPr>
          <w:p>
            <w:pPr>
              <w:spacing w:line="240" w:lineRule="auto" w:after="0"/>
            </w:pPr>
            <w:r>
              <w:rPr>
                <w:rFonts w:ascii="Times New Roman" w:hAnsi="Times New Roman"/>
                <w:b w:val="0"/>
                <w:i w:val="0"/>
                <w:sz w:val="20"/>
              </w:rPr>
              <w:t>56.6%</w:t>
            </w:r>
          </w:p>
        </w:tc>
      </w:tr>
      <w:tr>
        <w:tc>
          <w:tcPr>
            <w:tcW w:type="dxa" w:w="1293"/>
          </w:tcPr>
          <w:p>
            <w:pPr>
              <w:spacing w:line="240" w:lineRule="auto" w:after="0"/>
            </w:pPr>
            <w:r>
              <w:rPr>
                <w:rFonts w:ascii="Times New Roman" w:hAnsi="Times New Roman"/>
                <w:b w:val="0"/>
                <w:i w:val="0"/>
                <w:sz w:val="20"/>
              </w:rPr>
              <w:t>UCF-QNRF</w:t>
            </w:r>
          </w:p>
        </w:tc>
        <w:tc>
          <w:tcPr>
            <w:tcW w:type="dxa" w:w="1293"/>
          </w:tcPr>
          <w:p>
            <w:pPr>
              <w:spacing w:line="240" w:lineRule="auto" w:after="0"/>
            </w:pPr>
            <w:r>
              <w:rPr>
                <w:rFonts w:ascii="Times New Roman" w:hAnsi="Times New Roman"/>
                <w:b/>
                <w:i w:val="0"/>
                <w:sz w:val="20"/>
              </w:rPr>
              <w:t>−81.27</w:t>
            </w:r>
          </w:p>
        </w:tc>
        <w:tc>
          <w:tcPr>
            <w:tcW w:type="dxa" w:w="1293"/>
          </w:tcPr>
          <w:p>
            <w:pPr>
              <w:spacing w:line="240" w:lineRule="auto" w:after="0"/>
            </w:pPr>
            <w:r>
              <w:rPr>
                <w:rFonts w:ascii="Times New Roman" w:hAnsi="Times New Roman"/>
                <w:b w:val="0"/>
                <w:i w:val="0"/>
                <w:sz w:val="20"/>
              </w:rPr>
              <w:t>−5.48</w:t>
            </w:r>
          </w:p>
        </w:tc>
        <w:tc>
          <w:tcPr>
            <w:tcW w:type="dxa" w:w="1293"/>
          </w:tcPr>
          <w:p>
            <w:pPr>
              <w:spacing w:line="240" w:lineRule="auto" w:after="0"/>
            </w:pPr>
            <w:r>
              <w:rPr>
                <w:rFonts w:ascii="Times New Roman" w:hAnsi="Times New Roman"/>
                <w:b/>
                <w:i w:val="0"/>
                <w:sz w:val="20"/>
              </w:rPr>
              <w:t>93.7%</w:t>
            </w:r>
          </w:p>
        </w:tc>
        <w:tc>
          <w:tcPr>
            <w:tcW w:type="dxa" w:w="1293"/>
          </w:tcPr>
          <w:p>
            <w:pPr>
              <w:spacing w:line="240" w:lineRule="auto" w:after="0"/>
            </w:pPr>
            <w:r>
              <w:rPr>
                <w:rFonts w:ascii="Times New Roman" w:hAnsi="Times New Roman"/>
                <w:b w:val="0"/>
                <w:i w:val="0"/>
                <w:sz w:val="20"/>
              </w:rPr>
              <w:t>53.9%</w:t>
            </w:r>
          </w:p>
        </w:tc>
      </w:tr>
      <w:tr>
        <w:tc>
          <w:tcPr>
            <w:tcW w:type="dxa" w:w="1293"/>
          </w:tcPr>
          <w:p>
            <w:pPr>
              <w:spacing w:line="240" w:lineRule="auto" w:after="0"/>
            </w:pPr>
            <w:r>
              <w:rPr>
                <w:rFonts w:ascii="Times New Roman" w:hAnsi="Times New Roman"/>
                <w:b w:val="0"/>
                <w:i w:val="0"/>
                <w:sz w:val="20"/>
              </w:rPr>
              <w:t>AI-TOD</w:t>
            </w:r>
          </w:p>
        </w:tc>
        <w:tc>
          <w:tcPr>
            <w:tcW w:type="dxa" w:w="1293"/>
          </w:tcPr>
          <w:p>
            <w:pPr>
              <w:spacing w:line="240" w:lineRule="auto" w:after="0"/>
            </w:pPr>
            <w:r>
              <w:rPr>
                <w:rFonts w:ascii="Times New Roman" w:hAnsi="Times New Roman"/>
                <w:b/>
                <w:i w:val="0"/>
                <w:sz w:val="20"/>
              </w:rPr>
              <w:t>−67.17</w:t>
            </w:r>
          </w:p>
        </w:tc>
        <w:tc>
          <w:tcPr>
            <w:tcW w:type="dxa" w:w="1293"/>
          </w:tcPr>
          <w:p>
            <w:pPr>
              <w:spacing w:line="240" w:lineRule="auto" w:after="0"/>
            </w:pPr>
            <w:r>
              <w:rPr>
                <w:rFonts w:ascii="Times New Roman" w:hAnsi="Times New Roman"/>
                <w:b w:val="0"/>
                <w:i w:val="0"/>
                <w:sz w:val="20"/>
              </w:rPr>
              <w:t>−12.99</w:t>
            </w:r>
          </w:p>
        </w:tc>
        <w:tc>
          <w:tcPr>
            <w:tcW w:type="dxa" w:w="1293"/>
          </w:tcPr>
          <w:p>
            <w:pPr>
              <w:spacing w:line="240" w:lineRule="auto" w:after="0"/>
            </w:pPr>
            <w:r>
              <w:rPr>
                <w:rFonts w:ascii="Times New Roman" w:hAnsi="Times New Roman"/>
                <w:b/>
                <w:i w:val="0"/>
                <w:sz w:val="20"/>
              </w:rPr>
              <w:t>83.8%</w:t>
            </w:r>
          </w:p>
        </w:tc>
        <w:tc>
          <w:tcPr>
            <w:tcW w:type="dxa" w:w="1293"/>
          </w:tcPr>
          <w:p>
            <w:pPr>
              <w:spacing w:line="240" w:lineRule="auto" w:after="0"/>
            </w:pPr>
            <w:r>
              <w:rPr>
                <w:rFonts w:ascii="Times New Roman" w:hAnsi="Times New Roman"/>
                <w:b w:val="0"/>
                <w:i w:val="0"/>
                <w:sz w:val="20"/>
              </w:rPr>
              <w:t>68.1%</w:t>
            </w:r>
          </w:p>
        </w:tc>
      </w:tr>
      <w:tr>
        <w:tc>
          <w:tcPr>
            <w:tcW w:type="dxa" w:w="1293"/>
          </w:tcPr>
          <w:p>
            <w:pPr>
              <w:spacing w:line="240" w:lineRule="auto" w:after="0"/>
            </w:pPr>
            <w:r>
              <w:rPr>
                <w:rFonts w:ascii="Times New Roman" w:hAnsi="Times New Roman"/>
                <w:b w:val="0"/>
                <w:i w:val="0"/>
                <w:sz w:val="20"/>
              </w:rPr>
              <w:t>VisDrone</w:t>
            </w:r>
          </w:p>
        </w:tc>
        <w:tc>
          <w:tcPr>
            <w:tcW w:type="dxa" w:w="1293"/>
          </w:tcPr>
          <w:p>
            <w:pPr>
              <w:spacing w:line="240" w:lineRule="auto" w:after="0"/>
            </w:pPr>
            <w:r>
              <w:rPr>
                <w:rFonts w:ascii="Times New Roman" w:hAnsi="Times New Roman"/>
                <w:b/>
                <w:i w:val="0"/>
                <w:sz w:val="20"/>
              </w:rPr>
              <w:t>−58.39</w:t>
            </w:r>
          </w:p>
        </w:tc>
        <w:tc>
          <w:tcPr>
            <w:tcW w:type="dxa" w:w="1293"/>
          </w:tcPr>
          <w:p>
            <w:pPr>
              <w:spacing w:line="240" w:lineRule="auto" w:after="0"/>
            </w:pPr>
            <w:r>
              <w:rPr>
                <w:rFonts w:ascii="Times New Roman" w:hAnsi="Times New Roman"/>
                <w:b w:val="0"/>
                <w:i w:val="0"/>
                <w:sz w:val="20"/>
              </w:rPr>
              <w:t>−12.71</w:t>
            </w:r>
          </w:p>
        </w:tc>
        <w:tc>
          <w:tcPr>
            <w:tcW w:type="dxa" w:w="1293"/>
          </w:tcPr>
          <w:p>
            <w:pPr>
              <w:spacing w:line="240" w:lineRule="auto" w:after="0"/>
            </w:pPr>
            <w:r>
              <w:rPr>
                <w:rFonts w:ascii="Times New Roman" w:hAnsi="Times New Roman"/>
                <w:b/>
                <w:i w:val="0"/>
                <w:sz w:val="20"/>
              </w:rPr>
              <w:t>82.1%</w:t>
            </w:r>
          </w:p>
        </w:tc>
        <w:tc>
          <w:tcPr>
            <w:tcW w:type="dxa" w:w="1293"/>
          </w:tcPr>
          <w:p>
            <w:pPr>
              <w:spacing w:line="240" w:lineRule="auto" w:after="0"/>
            </w:pPr>
            <w:r>
              <w:rPr>
                <w:rFonts w:ascii="Times New Roman" w:hAnsi="Times New Roman"/>
                <w:b w:val="0"/>
                <w:i w:val="0"/>
                <w:sz w:val="20"/>
              </w:rPr>
              <w:t>68.2%</w:t>
            </w:r>
          </w:p>
        </w:tc>
      </w:tr>
    </w:tbl>
    <w:p/>
    <w:p>
      <w:r>
        <w:rPr>
          <w:rFonts w:ascii="Times New Roman" w:hAnsi="Times New Roman"/>
          <w:b w:val="0"/>
          <w:i/>
          <w:sz w:val="20"/>
        </w:rPr>
        <w:t xml:space="preserve">(Terms are pp of the pooled relative deviation and sum to it exactly; S is the ground-truth-weighted share and the last column the same </w:t>
      </w:r>
      <w:r>
        <w:rPr>
          <w:rFonts w:ascii="Times New Roman" w:hAnsi="Times New Roman"/>
          <w:b w:val="0"/>
          <w:i/>
          <w:sz w:val="20"/>
        </w:rPr>
        <w:t>rate</w:t>
      </w:r>
      <w:r>
        <w:rPr>
          <w:rFonts w:ascii="Times New Roman" w:hAnsi="Times New Roman"/>
          <w:b w:val="0"/>
          <w:i/>
          <w:sz w:val="20"/>
        </w:rPr>
        <w:t xml:space="preserve"> under the item-count convention. Appendix J.1.)</w:t>
      </w:r>
    </w:p>
    <w:p>
      <w:pPr>
        <w:pStyle w:val="Heading3"/>
      </w:pPr>
      <w:r>
        <w:rPr>
          <w:rFonts w:ascii="Times New Roman" w:hAnsi="Times New Roman"/>
          <w:b/>
          <w:i w:val="0"/>
          <w:sz w:val="20"/>
        </w:rPr>
        <w:t>5.6 Count and correctness under controlled rendering factors</w:t>
      </w:r>
    </w:p>
    <w:p>
      <w:r>
        <w:rPr>
          <w:rFonts w:ascii="Times New Roman" w:hAnsi="Times New Roman"/>
          <w:b w:val="0"/>
          <w:i w:val="0"/>
          <w:sz w:val="20"/>
        </w:rPr>
        <w:t xml:space="preserve">A new synthetic-dot experiment holds rendering fixed: count predicts correctness, not abstention. β = −4.2059, CI [−4.6465, −3.7653], 49.9% → 2.1% → 0.5% (11,232 = main-batch primary; </w:t>
      </w:r>
      <w:r>
        <w:rPr>
          <w:rFonts w:ascii="Times New Roman" w:hAnsi="Times New Roman"/>
          <w:b/>
          <w:i w:val="0"/>
          <w:sz w:val="20"/>
        </w:rPr>
        <w:t>M.11.1</w:t>
      </w:r>
      <w:r>
        <w:rPr>
          <w:rFonts w:ascii="Times New Roman" w:hAnsi="Times New Roman"/>
          <w:b w:val="0"/>
          <w:i w:val="0"/>
          <w:sz w:val="20"/>
        </w:rPr>
        <w:t>).</w:t>
      </w:r>
    </w:p>
    <w:p>
      <w:pPr>
        <w:pStyle w:val="Heading3"/>
      </w:pPr>
      <w:r>
        <w:rPr>
          <w:rFonts w:ascii="Times New Roman" w:hAnsi="Times New Roman"/>
          <w:b/>
          <w:i w:val="0"/>
          <w:sz w:val="20"/>
        </w:rPr>
        <w:t>5.7 Abstention and under-counting are two separable failure modes</w:t>
      </w:r>
    </w:p>
    <w:p>
      <w:r>
        <w:rPr>
          <w:rFonts w:ascii="Times New Roman" w:hAnsi="Times New Roman"/>
          <w:b w:val="0"/>
          <w:i w:val="0"/>
          <w:sz w:val="20"/>
        </w:rPr>
        <w:t xml:space="preserve">The title claims the </w:t>
      </w:r>
      <w:r>
        <w:rPr>
          <w:rFonts w:ascii="Times New Roman" w:hAnsi="Times New Roman"/>
          <w:b/>
          <w:i w:val="0"/>
          <w:sz w:val="20"/>
        </w:rPr>
        <w:t>composition of the aggregate under-count</w:t>
      </w:r>
      <w:r>
        <w:rPr>
          <w:rFonts w:ascii="Times New Roman" w:hAnsi="Times New Roman"/>
          <w:b w:val="0"/>
          <w:i w:val="0"/>
          <w:sz w:val="20"/>
        </w:rPr>
        <w:t xml:space="preserve">, not the absence of under-estimation: the answered-only relative deviation is </w:t>
      </w:r>
      <w:r>
        <w:rPr>
          <w:rFonts w:ascii="Times New Roman" w:hAnsi="Times New Roman"/>
          <w:b/>
          <w:i w:val="0"/>
          <w:sz w:val="20"/>
        </w:rPr>
        <w:t>−19.8%</w:t>
      </w:r>
      <w:r>
        <w:rPr>
          <w:rFonts w:ascii="Times New Roman" w:hAnsi="Times New Roman"/>
          <w:b w:val="0"/>
          <w:i w:val="0"/>
          <w:sz w:val="20"/>
        </w:rPr>
        <w:t xml:space="preserve"> (ShanghaiTech-A), </w:t>
      </w:r>
      <w:r>
        <w:rPr>
          <w:rFonts w:ascii="Times New Roman" w:hAnsi="Times New Roman"/>
          <w:b/>
          <w:i w:val="0"/>
          <w:sz w:val="20"/>
        </w:rPr>
        <w:t>−29.2%</w:t>
      </w:r>
      <w:r>
        <w:rPr>
          <w:rFonts w:ascii="Times New Roman" w:hAnsi="Times New Roman"/>
          <w:b w:val="0"/>
          <w:i w:val="0"/>
          <w:sz w:val="20"/>
        </w:rPr>
        <w:t xml:space="preserve"> (UCF-QNRF), </w:t>
      </w:r>
      <w:r>
        <w:rPr>
          <w:rFonts w:ascii="Times New Roman" w:hAnsi="Times New Roman"/>
          <w:b/>
          <w:i w:val="0"/>
          <w:sz w:val="20"/>
        </w:rPr>
        <w:t>−30.5%</w:t>
      </w:r>
      <w:r>
        <w:rPr>
          <w:rFonts w:ascii="Times New Roman" w:hAnsi="Times New Roman"/>
          <w:b w:val="0"/>
          <w:i w:val="0"/>
          <w:sz w:val="20"/>
        </w:rPr>
        <w:t xml:space="preserve"> (VisDrone) and </w:t>
      </w:r>
      <w:r>
        <w:rPr>
          <w:rFonts w:ascii="Times New Roman" w:hAnsi="Times New Roman"/>
          <w:b/>
          <w:i w:val="0"/>
          <w:sz w:val="20"/>
        </w:rPr>
        <w:t>−39.6%</w:t>
      </w:r>
      <w:r>
        <w:rPr>
          <w:rFonts w:ascii="Times New Roman" w:hAnsi="Times New Roman"/>
          <w:b w:val="0"/>
          <w:i w:val="0"/>
          <w:sz w:val="20"/>
        </w:rPr>
        <w:t xml:space="preserve"> (AI-TOD), each far outside the paper's own </w:t>
      </w:r>
      <w:r>
        <w:rPr>
          <w:rFonts w:ascii="Times New Roman" w:hAnsi="Times New Roman"/>
          <w:b/>
          <w:i w:val="0"/>
          <w:sz w:val="20"/>
        </w:rPr>
        <w:t>7 pp</w:t>
      </w:r>
      <w:r>
        <w:rPr>
          <w:rFonts w:ascii="Times New Roman" w:hAnsi="Times New Roman"/>
          <w:b w:val="0"/>
          <w:i w:val="0"/>
          <w:sz w:val="20"/>
        </w:rPr>
        <w:t xml:space="preserve"> band (§A.3 — the across-repeat band of ρ, which is neither the 3.92 pp batch bound of Appendix M.21.9 nor a band for zero rates).</w:t>
      </w:r>
    </w:p>
    <w:p>
      <w:r>
        <w:rPr>
          <w:rFonts w:ascii="Times New Roman" w:hAnsi="Times New Roman"/>
          <w:b/>
          <w:i w:val="0"/>
          <w:sz w:val="20"/>
        </w:rPr>
        <w:t>Mode A: capacity-driven under-counting.</w:t>
      </w:r>
      <w:r>
        <w:rPr>
          <w:rFonts w:ascii="Times New Roman" w:hAnsi="Times New Roman"/>
          <w:b w:val="0"/>
          <w:i w:val="0"/>
          <w:sz w:val="20"/>
        </w:rPr>
        <w:t xml:space="preserve"> Even with ideal input the model under-counts by </w:t>
      </w:r>
      <w:r>
        <w:rPr>
          <w:rFonts w:ascii="Times New Roman" w:hAnsi="Times New Roman"/>
          <w:b/>
          <w:i w:val="0"/>
          <w:sz w:val="20"/>
        </w:rPr>
        <w:t>up to 50%</w:t>
      </w:r>
      <w:r>
        <w:rPr>
          <w:rFonts w:ascii="Times New Roman" w:hAnsi="Times New Roman"/>
          <w:b w:val="0"/>
          <w:i w:val="0"/>
          <w:sz w:val="20"/>
        </w:rPr>
        <w:t xml:space="preserve"> in relative deviation (not an abstention share; Appendix J.8) — a floor set by the reporting stage, not by perception. </w:t>
      </w:r>
      <w:r>
        <w:rPr>
          <w:rFonts w:ascii="Times New Roman" w:hAnsi="Times New Roman"/>
          <w:b/>
          <w:i w:val="0"/>
          <w:sz w:val="20"/>
        </w:rPr>
        <w:t>Mode B: mode collapse, whose extreme form is answering 0.</w:t>
      </w:r>
      <w:r>
        <w:rPr>
          <w:rFonts w:ascii="Times New Roman" w:hAnsi="Times New Roman"/>
          <w:b w:val="0"/>
          <w:i w:val="0"/>
          <w:sz w:val="20"/>
        </w:rPr>
        <w:t xml:space="preserve"> Triggered by loss of legibility, absent on clean input, switchable on by blur, overlap or a strict prompt. </w:t>
      </w:r>
      <w:r>
        <w:rPr>
          <w:rFonts w:ascii="Times New Roman" w:hAnsi="Times New Roman"/>
          <w:b/>
          <w:i w:val="0"/>
          <w:sz w:val="20"/>
        </w:rPr>
        <w:t>The channel is set by the output contract (Appendix M):</w:t>
      </w:r>
      <w:r>
        <w:rPr>
          <w:rFonts w:ascii="Times New Roman" w:hAnsi="Times New Roman"/>
          <w:b w:val="0"/>
          <w:i w:val="0"/>
          <w:sz w:val="20"/>
        </w:rPr>
        <w:t xml:space="preserve"> on the items that the corpus configuration answered exactly 0, five configurations given an explicit abstention option abstained in </w:t>
      </w:r>
      <w:r>
        <w:rPr>
          <w:rFonts w:ascii="Times New Roman" w:hAnsi="Times New Roman"/>
          <w:b/>
          <w:i w:val="0"/>
          <w:sz w:val="20"/>
        </w:rPr>
        <w:t>1591 of 1591</w:t>
      </w:r>
      <w:r>
        <w:rPr>
          <w:rFonts w:ascii="Times New Roman" w:hAnsi="Times New Roman"/>
          <w:b w:val="0"/>
          <w:i w:val="0"/>
          <w:sz w:val="20"/>
        </w:rPr>
        <w:t xml:space="preserve"> successful calls and </w:t>
      </w:r>
      <w:r>
        <w:rPr>
          <w:rFonts w:ascii="Times New Roman" w:hAnsi="Times New Roman"/>
          <w:b/>
          <w:i w:val="0"/>
          <w:sz w:val="20"/>
        </w:rPr>
        <w:t>never</w:t>
      </w:r>
      <w:r>
        <w:rPr>
          <w:rFonts w:ascii="Times New Roman" w:hAnsi="Times New Roman"/>
          <w:b w:val="0"/>
          <w:i w:val="0"/>
          <w:sz w:val="20"/>
        </w:rPr>
        <w:t xml:space="preserve"> answered 0, while forbidding abstention gave a </w:t>
      </w:r>
      <w:r>
        <w:rPr>
          <w:rFonts w:ascii="Times New Roman" w:hAnsi="Times New Roman"/>
          <w:b/>
          <w:i w:val="0"/>
          <w:sz w:val="20"/>
        </w:rPr>
        <w:t>per-item median</w:t>
      </w:r>
      <w:r>
        <w:rPr>
          <w:rFonts w:ascii="Times New Roman" w:hAnsi="Times New Roman"/>
          <w:b w:val="0"/>
          <w:i w:val="0"/>
          <w:sz w:val="20"/>
        </w:rPr>
        <w:t xml:space="preserve"> of </w:t>
      </w:r>
      <w:r>
        <w:rPr>
          <w:rFonts w:ascii="Times New Roman" w:hAnsi="Times New Roman"/>
          <w:b/>
          <w:i w:val="0"/>
          <w:sz w:val="20"/>
        </w:rPr>
        <w:t>2.463–9.452×</w:t>
      </w:r>
      <w:r>
        <w:rPr>
          <w:rFonts w:ascii="Times New Roman" w:hAnsi="Times New Roman"/>
          <w:b w:val="0"/>
          <w:i w:val="0"/>
          <w:sz w:val="20"/>
        </w:rPr>
        <w:t xml:space="preserve"> the true count. The zero is therefore neither specific to the quantised local deployment nor a universal family behaviour: the hosted checkpoint matching the corpus configuration answers 0 on </w:t>
      </w:r>
      <w:r>
        <w:rPr>
          <w:rFonts w:ascii="Times New Roman" w:hAnsi="Times New Roman"/>
          <w:b/>
          <w:i w:val="0"/>
          <w:sz w:val="20"/>
        </w:rPr>
        <w:t>25.8–31.7%</w:t>
      </w:r>
      <w:r>
        <w:rPr>
          <w:rFonts w:ascii="Times New Roman" w:hAnsi="Times New Roman"/>
          <w:b w:val="0"/>
          <w:i w:val="0"/>
          <w:sz w:val="20"/>
        </w:rPr>
        <w:t xml:space="preserve"> of these items, whereas </w:t>
      </w:r>
      <w:r>
        <w:rPr>
          <w:rFonts w:ascii="Times New Roman" w:hAnsi="Times New Roman"/>
          <w:b w:val="0"/>
          <w:i/>
          <w:sz w:val="20"/>
        </w:rPr>
        <w:t>plus</w:t>
      </w:r>
      <w:r>
        <w:rPr>
          <w:rFonts w:ascii="Times New Roman" w:hAnsi="Times New Roman"/>
          <w:b w:val="0"/>
          <w:i w:val="0"/>
          <w:sz w:val="20"/>
        </w:rPr>
        <w:t xml:space="preserve">, </w:t>
      </w:r>
      <w:r>
        <w:rPr>
          <w:rFonts w:ascii="Times New Roman" w:hAnsi="Times New Roman"/>
          <w:b w:val="0"/>
          <w:i/>
          <w:sz w:val="20"/>
        </w:rPr>
        <w:t>flash</w:t>
      </w:r>
      <w:r>
        <w:rPr>
          <w:rFonts w:ascii="Times New Roman" w:hAnsi="Times New Roman"/>
          <w:b w:val="0"/>
          <w:i w:val="0"/>
          <w:sz w:val="20"/>
        </w:rPr>
        <w:t xml:space="preserve"> and </w:t>
      </w:r>
      <w:r>
        <w:rPr>
          <w:rFonts w:ascii="Times New Roman" w:hAnsi="Times New Roman"/>
          <w:b w:val="0"/>
          <w:i/>
          <w:sz w:val="20"/>
        </w:rPr>
        <w:t>235b</w:t>
      </w:r>
      <w:r>
        <w:rPr>
          <w:rFonts w:ascii="Times New Roman" w:hAnsi="Times New Roman"/>
          <w:b w:val="0"/>
          <w:i w:val="0"/>
          <w:sz w:val="20"/>
        </w:rPr>
        <w:t xml:space="preserve"> answer 0 on </w:t>
      </w:r>
      <w:r>
        <w:rPr>
          <w:rFonts w:ascii="Times New Roman" w:hAnsi="Times New Roman"/>
          <w:b/>
          <w:i w:val="0"/>
          <w:sz w:val="20"/>
        </w:rPr>
        <w:t>0–0.4%</w:t>
      </w:r>
      <w:r>
        <w:rPr>
          <w:rFonts w:ascii="Times New Roman" w:hAnsi="Times New Roman"/>
          <w:b w:val="0"/>
          <w:i w:val="0"/>
          <w:sz w:val="20"/>
        </w:rPr>
        <w:t xml:space="preserve"> (all 48 cells: Appendix M, M.11).</w:t>
      </w:r>
    </w:p>
    <w:p>
      <w:r>
        <w:rPr>
          <w:rFonts w:ascii="Times New Roman" w:hAnsi="Times New Roman"/>
          <w:b/>
          <w:i w:val="0"/>
          <w:sz w:val="20"/>
        </w:rPr>
        <w:t>The cross-family result: the answered zero is set by the contract, not by the lineage (Appendix M.19).</w:t>
      </w:r>
      <w:r>
        <w:rPr>
          <w:rFonts w:ascii="Times New Roman" w:hAnsi="Times New Roman"/>
          <w:b w:val="0"/>
          <w:i w:val="0"/>
          <w:sz w:val="20"/>
        </w:rPr>
        <w:t xml:space="preserve"> A family's chat template cannot be equalised across vendors — changing it moves an absolute rate by up to </w:t>
      </w:r>
      <w:r>
        <w:rPr>
          <w:rFonts w:ascii="Times New Roman" w:hAnsi="Times New Roman"/>
          <w:b/>
          <w:i w:val="0"/>
          <w:sz w:val="20"/>
        </w:rPr>
        <w:t>56.6 pp</w:t>
      </w:r>
      <w:r>
        <w:rPr>
          <w:rFonts w:ascii="Times New Roman" w:hAnsi="Times New Roman"/>
          <w:b w:val="0"/>
          <w:i w:val="0"/>
          <w:sz w:val="20"/>
        </w:rPr>
        <w:t xml:space="preserve"> — so no absolute rate is compared across families: every claim below is a </w:t>
      </w:r>
      <w:r>
        <w:rPr>
          <w:rFonts w:ascii="Times New Roman" w:hAnsi="Times New Roman"/>
          <w:b/>
          <w:i w:val="0"/>
          <w:sz w:val="20"/>
        </w:rPr>
        <w:t>within-family paired</w:t>
      </w:r>
      <w:r>
        <w:rPr>
          <w:rFonts w:ascii="Times New Roman" w:hAnsi="Times New Roman"/>
          <w:b w:val="0"/>
          <w:i w:val="0"/>
          <w:sz w:val="20"/>
        </w:rPr>
        <w:t xml:space="preserve"> contrast, the template held constant (Appendix M.19.1, M.19.8). Every configuration above descends from two lineages, so we re-ran the same grid with the </w:t>
      </w:r>
      <w:r>
        <w:rPr>
          <w:rFonts w:ascii="Times New Roman" w:hAnsi="Times New Roman"/>
          <w:b/>
          <w:i w:val="0"/>
          <w:sz w:val="20"/>
        </w:rPr>
        <w:t>identical instrument</w:t>
      </w:r>
      <w:r>
        <w:rPr>
          <w:rFonts w:ascii="Times New Roman" w:hAnsi="Times New Roman"/>
          <w:b w:val="0"/>
          <w:i w:val="0"/>
          <w:sz w:val="20"/>
        </w:rPr>
        <w:t xml:space="preserve"> (same probe, prompts, parser, domains, pools, fixed seed and items, md5 </w:t>
      </w:r>
      <w:r>
        <w:rPr>
          <w:rFonts w:ascii="Times New Roman" w:hAnsi="Times New Roman"/>
          <w:b w:val="0"/>
          <w:i/>
          <w:sz w:val="20"/>
        </w:rPr>
        <w:t>03edb14c98ff</w:t>
      </w:r>
      <w:r>
        <w:rPr>
          <w:rFonts w:ascii="Times New Roman" w:hAnsi="Times New Roman"/>
          <w:b w:val="0"/>
          <w:i w:val="0"/>
          <w:sz w:val="20"/>
        </w:rPr>
        <w:t xml:space="preserve">) on </w:t>
      </w:r>
      <w:r>
        <w:rPr>
          <w:rFonts w:ascii="Times New Roman" w:hAnsi="Times New Roman"/>
          <w:b/>
          <w:i w:val="0"/>
          <w:sz w:val="20"/>
        </w:rPr>
        <w:t>four further open-weight families — Gemma-3-12B, InternVL3.5-8B, Phi-3.5-Vision-4.2B and LLaVA-OneVision-7B, all unquantised official builds — together with three anchors: seven families.</w:t>
      </w:r>
      <w:r>
        <w:rPr>
          <w:rFonts w:ascii="Times New Roman" w:hAnsi="Times New Roman"/>
          <w:b w:val="0"/>
          <w:i w:val="0"/>
          <w:sz w:val="20"/>
        </w:rPr>
        <w:t xml:space="preserve"> Adding the abstention token removed the answered zero in </w:t>
      </w:r>
      <w:r>
        <w:rPr>
          <w:rFonts w:ascii="Times New Roman" w:hAnsi="Times New Roman"/>
          <w:b/>
          <w:i w:val="0"/>
          <w:sz w:val="20"/>
        </w:rPr>
        <w:t>five of seven</w:t>
      </w:r>
      <w:r>
        <w:rPr>
          <w:rFonts w:ascii="Times New Roman" w:hAnsi="Times New Roman"/>
          <w:b w:val="0"/>
          <w:i w:val="0"/>
          <w:sz w:val="20"/>
        </w:rPr>
        <w:t>:</w:t>
      </w:r>
    </w:p>
    <w:p>
      <w:r>
        <w:rPr>
          <w:rFonts w:ascii="Times New Roman" w:hAnsi="Times New Roman"/>
          <w:b/>
          <w:i w:val="0"/>
          <w:sz w:val="20"/>
        </w:rPr>
        <w:t>Table 4.</w:t>
      </w:r>
      <w:r>
        <w:rPr>
          <w:rFonts w:ascii="Times New Roman" w:hAnsi="Times New Roman"/>
          <w:b w:val="0"/>
          <w:i w:val="0"/>
          <w:sz w:val="20"/>
        </w:rPr>
        <w:t xml:space="preserve"> The cross-family contract gate. The three rows tagged </w:t>
      </w:r>
      <w:r>
        <w:rPr>
          <w:rFonts w:ascii="Times New Roman" w:hAnsi="Times New Roman"/>
          <w:b w:val="0"/>
          <w:i/>
          <w:sz w:val="20"/>
        </w:rPr>
        <w:t>(anchor)</w:t>
      </w:r>
      <w:r>
        <w:rPr>
          <w:rFonts w:ascii="Times New Roman" w:hAnsi="Times New Roman"/>
          <w:b w:val="0"/>
          <w:i w:val="0"/>
          <w:sz w:val="20"/>
        </w:rPr>
        <w:t xml:space="preserve"> use the community AWQ-4bit requantisation of §3.5.</w:t>
      </w:r>
    </w:p>
    <w:tbl>
      <w:tblPr>
        <w:tblW w:type="auto" w:w="0"/>
        <w:tblLook w:firstColumn="1" w:firstRow="1" w:lastColumn="0" w:lastRow="0" w:noHBand="0" w:noVBand="1" w:val="04A0"/>
        <w:tblBorders>
          <w:top w:val="single" w:sz="4" w:color="000000"/>
          <w:bottom w:val="single" w:sz="4" w:color="000000"/>
          <w:insideH w:val="single" w:sz="4" w:color="000000"/>
          <w:left w:val="none" w:sz="0"/>
          <w:right w:val="none" w:sz="0"/>
          <w:insideV w:val="none" w:sz="0"/>
        </w:tblBorders>
      </w:tblPr>
      <w:tblGrid>
        <w:gridCol w:w="1293"/>
        <w:gridCol w:w="1293"/>
        <w:gridCol w:w="1293"/>
        <w:gridCol w:w="1293"/>
        <w:gridCol w:w="1293"/>
      </w:tblGrid>
      <w:tr>
        <w:tc>
          <w:tcPr>
            <w:tcW w:type="dxa" w:w="1293"/>
          </w:tcPr>
          <w:p>
            <w:pPr>
              <w:spacing w:line="240" w:lineRule="auto" w:after="0"/>
            </w:pPr>
            <w:r>
              <w:rPr>
                <w:rFonts w:ascii="Times New Roman" w:hAnsi="Times New Roman"/>
                <w:b/>
                <w:i w:val="0"/>
                <w:sz w:val="20"/>
              </w:rPr>
              <w:t>family (lineage)</w:t>
            </w:r>
          </w:p>
        </w:tc>
        <w:tc>
          <w:tcPr>
            <w:tcW w:type="dxa" w:w="1293"/>
          </w:tcPr>
          <w:p>
            <w:pPr>
              <w:spacing w:line="240" w:lineRule="auto" w:after="0"/>
            </w:pPr>
            <w:r>
              <w:rPr>
                <w:rFonts w:ascii="Times New Roman" w:hAnsi="Times New Roman"/>
                <w:b/>
                <w:i w:val="0"/>
                <w:sz w:val="20"/>
              </w:rPr>
              <w:t>base zeros</w:t>
            </w:r>
          </w:p>
        </w:tc>
        <w:tc>
          <w:tcPr>
            <w:tcW w:type="dxa" w:w="1293"/>
          </w:tcPr>
          <w:p>
            <w:pPr>
              <w:spacing w:line="240" w:lineRule="auto" w:after="0"/>
            </w:pPr>
            <w:r>
              <w:rPr>
                <w:rFonts w:ascii="Times New Roman" w:hAnsi="Times New Roman"/>
                <w:b/>
                <w:i w:val="0"/>
                <w:sz w:val="20"/>
              </w:rPr>
              <w:t xml:space="preserve">still 0 under </w:t>
            </w:r>
            <w:r>
              <w:rPr>
                <w:rFonts w:ascii="Times New Roman" w:hAnsi="Times New Roman"/>
                <w:b/>
                <w:i/>
                <w:sz w:val="20"/>
              </w:rPr>
              <w:t>permit</w:t>
            </w:r>
          </w:p>
        </w:tc>
        <w:tc>
          <w:tcPr>
            <w:tcW w:type="dxa" w:w="1293"/>
          </w:tcPr>
          <w:p>
            <w:pPr>
              <w:spacing w:line="240" w:lineRule="auto" w:after="0"/>
            </w:pPr>
            <w:r>
              <w:rPr>
                <w:rFonts w:ascii="Times New Roman" w:hAnsi="Times New Roman"/>
                <w:b/>
                <w:i w:val="0"/>
                <w:sz w:val="20"/>
              </w:rPr>
              <w:t>rate</w:t>
            </w:r>
          </w:p>
        </w:tc>
        <w:tc>
          <w:tcPr>
            <w:tcW w:type="dxa" w:w="1293"/>
          </w:tcPr>
          <w:p>
            <w:pPr>
              <w:spacing w:line="240" w:lineRule="auto" w:after="0"/>
            </w:pPr>
            <w:r>
              <w:rPr>
                <w:rFonts w:ascii="Times New Roman" w:hAnsi="Times New Roman"/>
                <w:b/>
                <w:i w:val="0"/>
                <w:sz w:val="20"/>
              </w:rPr>
              <w:t>95% CI (Wilson)</w:t>
            </w:r>
          </w:p>
        </w:tc>
      </w:tr>
      <w:tr>
        <w:tc>
          <w:tcPr>
            <w:tcW w:type="dxa" w:w="1293"/>
          </w:tcPr>
          <w:p>
            <w:pPr>
              <w:spacing w:line="240" w:lineRule="auto" w:after="0"/>
            </w:pPr>
            <w:r>
              <w:rPr>
                <w:rFonts w:ascii="Times New Roman" w:hAnsi="Times New Roman"/>
                <w:b w:val="0"/>
                <w:i w:val="0"/>
                <w:sz w:val="20"/>
              </w:rPr>
              <w:t>Gemma-3-12B (Google)</w:t>
            </w:r>
          </w:p>
        </w:tc>
        <w:tc>
          <w:tcPr>
            <w:tcW w:type="dxa" w:w="1293"/>
          </w:tcPr>
          <w:p>
            <w:pPr>
              <w:spacing w:line="240" w:lineRule="auto" w:after="0"/>
            </w:pPr>
            <w:r>
              <w:rPr>
                <w:rFonts w:ascii="Times New Roman" w:hAnsi="Times New Roman"/>
                <w:b w:val="0"/>
                <w:i w:val="0"/>
                <w:sz w:val="20"/>
              </w:rPr>
              <w:t>9</w:t>
            </w:r>
          </w:p>
        </w:tc>
        <w:tc>
          <w:tcPr>
            <w:tcW w:type="dxa" w:w="1293"/>
          </w:tcPr>
          <w:p>
            <w:pPr>
              <w:spacing w:line="240" w:lineRule="auto" w:after="0"/>
            </w:pPr>
            <w:r>
              <w:rPr>
                <w:rFonts w:ascii="Times New Roman" w:hAnsi="Times New Roman"/>
                <w:b w:val="0"/>
                <w:i w:val="0"/>
                <w:sz w:val="20"/>
              </w:rPr>
              <w:t>0</w:t>
            </w:r>
          </w:p>
        </w:tc>
        <w:tc>
          <w:tcPr>
            <w:tcW w:type="dxa" w:w="1293"/>
          </w:tcPr>
          <w:p>
            <w:pPr>
              <w:spacing w:line="240" w:lineRule="auto" w:after="0"/>
            </w:pPr>
            <w:r>
              <w:rPr>
                <w:rFonts w:ascii="Times New Roman" w:hAnsi="Times New Roman"/>
                <w:b/>
                <w:i w:val="0"/>
                <w:sz w:val="20"/>
              </w:rPr>
              <w:t>0.0%</w:t>
            </w:r>
          </w:p>
        </w:tc>
        <w:tc>
          <w:tcPr>
            <w:tcW w:type="dxa" w:w="1293"/>
          </w:tcPr>
          <w:p>
            <w:pPr>
              <w:spacing w:line="240" w:lineRule="auto" w:after="0"/>
            </w:pPr>
            <w:r>
              <w:rPr>
                <w:rFonts w:ascii="Times New Roman" w:hAnsi="Times New Roman"/>
                <w:b w:val="0"/>
                <w:i w:val="0"/>
                <w:sz w:val="20"/>
              </w:rPr>
              <w:t>[0.0%, 29.9%]</w:t>
            </w:r>
          </w:p>
        </w:tc>
      </w:tr>
      <w:tr>
        <w:tc>
          <w:tcPr>
            <w:tcW w:type="dxa" w:w="1293"/>
          </w:tcPr>
          <w:p>
            <w:pPr>
              <w:spacing w:line="240" w:lineRule="auto" w:after="0"/>
            </w:pPr>
            <w:r>
              <w:rPr>
                <w:rFonts w:ascii="Times New Roman" w:hAnsi="Times New Roman"/>
                <w:b w:val="0"/>
                <w:i w:val="0"/>
                <w:sz w:val="20"/>
              </w:rPr>
              <w:t>InternVL3.5-8B (OpenGVLab)</w:t>
            </w:r>
          </w:p>
        </w:tc>
        <w:tc>
          <w:tcPr>
            <w:tcW w:type="dxa" w:w="1293"/>
          </w:tcPr>
          <w:p>
            <w:pPr>
              <w:spacing w:line="240" w:lineRule="auto" w:after="0"/>
            </w:pPr>
            <w:r>
              <w:rPr>
                <w:rFonts w:ascii="Times New Roman" w:hAnsi="Times New Roman"/>
                <w:b w:val="0"/>
                <w:i w:val="0"/>
                <w:sz w:val="20"/>
              </w:rPr>
              <w:t>156</w:t>
            </w:r>
          </w:p>
        </w:tc>
        <w:tc>
          <w:tcPr>
            <w:tcW w:type="dxa" w:w="1293"/>
          </w:tcPr>
          <w:p>
            <w:pPr>
              <w:spacing w:line="240" w:lineRule="auto" w:after="0"/>
            </w:pPr>
            <w:r>
              <w:rPr>
                <w:rFonts w:ascii="Times New Roman" w:hAnsi="Times New Roman"/>
                <w:b w:val="0"/>
                <w:i w:val="0"/>
                <w:sz w:val="20"/>
              </w:rPr>
              <w:t>0</w:t>
            </w:r>
          </w:p>
        </w:tc>
        <w:tc>
          <w:tcPr>
            <w:tcW w:type="dxa" w:w="1293"/>
          </w:tcPr>
          <w:p>
            <w:pPr>
              <w:spacing w:line="240" w:lineRule="auto" w:after="0"/>
            </w:pPr>
            <w:r>
              <w:rPr>
                <w:rFonts w:ascii="Times New Roman" w:hAnsi="Times New Roman"/>
                <w:b/>
                <w:i w:val="0"/>
                <w:sz w:val="20"/>
              </w:rPr>
              <w:t>0.0%</w:t>
            </w:r>
          </w:p>
        </w:tc>
        <w:tc>
          <w:tcPr>
            <w:tcW w:type="dxa" w:w="1293"/>
          </w:tcPr>
          <w:p>
            <w:pPr>
              <w:spacing w:line="240" w:lineRule="auto" w:after="0"/>
            </w:pPr>
            <w:r>
              <w:rPr>
                <w:rFonts w:ascii="Times New Roman" w:hAnsi="Times New Roman"/>
                <w:b w:val="0"/>
                <w:i w:val="0"/>
                <w:sz w:val="20"/>
              </w:rPr>
              <w:t>[0.0%, 2.4%]</w:t>
            </w:r>
          </w:p>
        </w:tc>
      </w:tr>
      <w:tr>
        <w:tc>
          <w:tcPr>
            <w:tcW w:type="dxa" w:w="1293"/>
          </w:tcPr>
          <w:p>
            <w:pPr>
              <w:spacing w:line="240" w:lineRule="auto" w:after="0"/>
            </w:pPr>
            <w:r>
              <w:rPr>
                <w:rFonts w:ascii="Times New Roman" w:hAnsi="Times New Roman"/>
                <w:b w:val="0"/>
                <w:i w:val="0"/>
                <w:sz w:val="20"/>
              </w:rPr>
              <w:t>Phi-3.5-Vision-4.2B (Microsoft)</w:t>
            </w:r>
          </w:p>
        </w:tc>
        <w:tc>
          <w:tcPr>
            <w:tcW w:type="dxa" w:w="1293"/>
          </w:tcPr>
          <w:p>
            <w:pPr>
              <w:spacing w:line="240" w:lineRule="auto" w:after="0"/>
            </w:pPr>
            <w:r>
              <w:rPr>
                <w:rFonts w:ascii="Times New Roman" w:hAnsi="Times New Roman"/>
                <w:b w:val="0"/>
                <w:i w:val="0"/>
                <w:sz w:val="20"/>
              </w:rPr>
              <w:t>197</w:t>
            </w:r>
          </w:p>
        </w:tc>
        <w:tc>
          <w:tcPr>
            <w:tcW w:type="dxa" w:w="1293"/>
          </w:tcPr>
          <w:p>
            <w:pPr>
              <w:spacing w:line="240" w:lineRule="auto" w:after="0"/>
            </w:pPr>
            <w:r>
              <w:rPr>
                <w:rFonts w:ascii="Times New Roman" w:hAnsi="Times New Roman"/>
                <w:b w:val="0"/>
                <w:i w:val="0"/>
                <w:sz w:val="20"/>
              </w:rPr>
              <w:t>0</w:t>
            </w:r>
          </w:p>
        </w:tc>
        <w:tc>
          <w:tcPr>
            <w:tcW w:type="dxa" w:w="1293"/>
          </w:tcPr>
          <w:p>
            <w:pPr>
              <w:spacing w:line="240" w:lineRule="auto" w:after="0"/>
            </w:pPr>
            <w:r>
              <w:rPr>
                <w:rFonts w:ascii="Times New Roman" w:hAnsi="Times New Roman"/>
                <w:b/>
                <w:i w:val="0"/>
                <w:sz w:val="20"/>
              </w:rPr>
              <w:t>0.0%</w:t>
            </w:r>
          </w:p>
        </w:tc>
        <w:tc>
          <w:tcPr>
            <w:tcW w:type="dxa" w:w="1293"/>
          </w:tcPr>
          <w:p>
            <w:pPr>
              <w:spacing w:line="240" w:lineRule="auto" w:after="0"/>
            </w:pPr>
            <w:r>
              <w:rPr>
                <w:rFonts w:ascii="Times New Roman" w:hAnsi="Times New Roman"/>
                <w:b w:val="0"/>
                <w:i w:val="0"/>
                <w:sz w:val="20"/>
              </w:rPr>
              <w:t>[0.0%, 1.9%]</w:t>
            </w:r>
          </w:p>
        </w:tc>
      </w:tr>
      <w:tr>
        <w:tc>
          <w:tcPr>
            <w:tcW w:type="dxa" w:w="1293"/>
          </w:tcPr>
          <w:p>
            <w:pPr>
              <w:spacing w:line="240" w:lineRule="auto" w:after="0"/>
            </w:pPr>
            <w:r>
              <w:rPr>
                <w:rFonts w:ascii="Times New Roman" w:hAnsi="Times New Roman"/>
                <w:b w:val="0"/>
                <w:i w:val="0"/>
                <w:sz w:val="20"/>
              </w:rPr>
              <w:t>LLaVA-OneVision-7B (community)</w:t>
            </w:r>
          </w:p>
        </w:tc>
        <w:tc>
          <w:tcPr>
            <w:tcW w:type="dxa" w:w="1293"/>
          </w:tcPr>
          <w:p>
            <w:pPr>
              <w:spacing w:line="240" w:lineRule="auto" w:after="0"/>
            </w:pPr>
            <w:r>
              <w:rPr>
                <w:rFonts w:ascii="Times New Roman" w:hAnsi="Times New Roman"/>
                <w:b w:val="0"/>
                <w:i w:val="0"/>
                <w:sz w:val="20"/>
              </w:rPr>
              <w:t>235</w:t>
            </w:r>
          </w:p>
        </w:tc>
        <w:tc>
          <w:tcPr>
            <w:tcW w:type="dxa" w:w="1293"/>
          </w:tcPr>
          <w:p>
            <w:pPr>
              <w:spacing w:line="240" w:lineRule="auto" w:after="0"/>
            </w:pPr>
            <w:r>
              <w:rPr>
                <w:rFonts w:ascii="Times New Roman" w:hAnsi="Times New Roman"/>
                <w:b w:val="0"/>
                <w:i w:val="0"/>
                <w:sz w:val="20"/>
              </w:rPr>
              <w:t>5</w:t>
            </w:r>
          </w:p>
        </w:tc>
        <w:tc>
          <w:tcPr>
            <w:tcW w:type="dxa" w:w="1293"/>
          </w:tcPr>
          <w:p>
            <w:pPr>
              <w:spacing w:line="240" w:lineRule="auto" w:after="0"/>
            </w:pPr>
            <w:r>
              <w:rPr>
                <w:rFonts w:ascii="Times New Roman" w:hAnsi="Times New Roman"/>
                <w:b/>
                <w:i w:val="0"/>
                <w:sz w:val="20"/>
              </w:rPr>
              <w:t>2.1%</w:t>
            </w:r>
          </w:p>
        </w:tc>
        <w:tc>
          <w:tcPr>
            <w:tcW w:type="dxa" w:w="1293"/>
          </w:tcPr>
          <w:p>
            <w:pPr>
              <w:spacing w:line="240" w:lineRule="auto" w:after="0"/>
            </w:pPr>
            <w:r>
              <w:rPr>
                <w:rFonts w:ascii="Times New Roman" w:hAnsi="Times New Roman"/>
                <w:b w:val="0"/>
                <w:i w:val="0"/>
                <w:sz w:val="20"/>
              </w:rPr>
              <w:t>[0.9%, 4.9%]</w:t>
            </w:r>
          </w:p>
        </w:tc>
      </w:tr>
      <w:tr>
        <w:tc>
          <w:tcPr>
            <w:tcW w:type="dxa" w:w="1293"/>
          </w:tcPr>
          <w:p>
            <w:pPr>
              <w:spacing w:line="240" w:lineRule="auto" w:after="0"/>
            </w:pPr>
            <w:r>
              <w:rPr>
                <w:rFonts w:ascii="Times New Roman" w:hAnsi="Times New Roman"/>
                <w:b w:val="0"/>
                <w:i w:val="0"/>
                <w:sz w:val="20"/>
              </w:rPr>
              <w:t>Qwen3-VL-32B-AWQ (anchor)</w:t>
            </w:r>
          </w:p>
        </w:tc>
        <w:tc>
          <w:tcPr>
            <w:tcW w:type="dxa" w:w="1293"/>
          </w:tcPr>
          <w:p>
            <w:pPr>
              <w:spacing w:line="240" w:lineRule="auto" w:after="0"/>
            </w:pPr>
            <w:r>
              <w:rPr>
                <w:rFonts w:ascii="Times New Roman" w:hAnsi="Times New Roman"/>
                <w:b w:val="0"/>
                <w:i w:val="0"/>
                <w:sz w:val="20"/>
              </w:rPr>
              <w:t>685</w:t>
            </w:r>
          </w:p>
        </w:tc>
        <w:tc>
          <w:tcPr>
            <w:tcW w:type="dxa" w:w="1293"/>
          </w:tcPr>
          <w:p>
            <w:pPr>
              <w:spacing w:line="240" w:lineRule="auto" w:after="0"/>
            </w:pPr>
            <w:r>
              <w:rPr>
                <w:rFonts w:ascii="Times New Roman" w:hAnsi="Times New Roman"/>
                <w:b w:val="0"/>
                <w:i w:val="0"/>
                <w:sz w:val="20"/>
              </w:rPr>
              <w:t>1</w:t>
            </w:r>
          </w:p>
        </w:tc>
        <w:tc>
          <w:tcPr>
            <w:tcW w:type="dxa" w:w="1293"/>
          </w:tcPr>
          <w:p>
            <w:pPr>
              <w:spacing w:line="240" w:lineRule="auto" w:after="0"/>
            </w:pPr>
            <w:r>
              <w:rPr>
                <w:rFonts w:ascii="Times New Roman" w:hAnsi="Times New Roman"/>
                <w:b/>
                <w:i w:val="0"/>
                <w:sz w:val="20"/>
              </w:rPr>
              <w:t>0.1%</w:t>
            </w:r>
          </w:p>
        </w:tc>
        <w:tc>
          <w:tcPr>
            <w:tcW w:type="dxa" w:w="1293"/>
          </w:tcPr>
          <w:p>
            <w:pPr>
              <w:spacing w:line="240" w:lineRule="auto" w:after="0"/>
            </w:pPr>
            <w:r>
              <w:rPr>
                <w:rFonts w:ascii="Times New Roman" w:hAnsi="Times New Roman"/>
                <w:b w:val="0"/>
                <w:i w:val="0"/>
                <w:sz w:val="20"/>
              </w:rPr>
              <w:t>[0.03%, 0.8%]</w:t>
            </w:r>
          </w:p>
        </w:tc>
      </w:tr>
      <w:tr>
        <w:tc>
          <w:tcPr>
            <w:tcW w:type="dxa" w:w="1293"/>
          </w:tcPr>
          <w:p>
            <w:pPr>
              <w:spacing w:line="240" w:lineRule="auto" w:after="0"/>
            </w:pPr>
            <w:r>
              <w:rPr>
                <w:rFonts w:ascii="Times New Roman" w:hAnsi="Times New Roman"/>
                <w:b w:val="0"/>
                <w:i w:val="0"/>
                <w:sz w:val="20"/>
              </w:rPr>
              <w:t>Qwen2.5-VL-72B-AWQ (anchor)</w:t>
            </w:r>
          </w:p>
        </w:tc>
        <w:tc>
          <w:tcPr>
            <w:tcW w:type="dxa" w:w="1293"/>
          </w:tcPr>
          <w:p>
            <w:pPr>
              <w:spacing w:line="240" w:lineRule="auto" w:after="0"/>
            </w:pPr>
            <w:r>
              <w:rPr>
                <w:rFonts w:ascii="Times New Roman" w:hAnsi="Times New Roman"/>
                <w:b w:val="0"/>
                <w:i w:val="0"/>
                <w:sz w:val="20"/>
              </w:rPr>
              <w:t>214</w:t>
            </w:r>
          </w:p>
        </w:tc>
        <w:tc>
          <w:tcPr>
            <w:tcW w:type="dxa" w:w="1293"/>
          </w:tcPr>
          <w:p>
            <w:pPr>
              <w:spacing w:line="240" w:lineRule="auto" w:after="0"/>
            </w:pPr>
            <w:r>
              <w:rPr>
                <w:rFonts w:ascii="Times New Roman" w:hAnsi="Times New Roman"/>
                <w:b w:val="0"/>
                <w:i w:val="0"/>
                <w:sz w:val="20"/>
              </w:rPr>
              <w:t>0</w:t>
            </w:r>
          </w:p>
        </w:tc>
        <w:tc>
          <w:tcPr>
            <w:tcW w:type="dxa" w:w="1293"/>
          </w:tcPr>
          <w:p>
            <w:pPr>
              <w:spacing w:line="240" w:lineRule="auto" w:after="0"/>
            </w:pPr>
            <w:r>
              <w:rPr>
                <w:rFonts w:ascii="Times New Roman" w:hAnsi="Times New Roman"/>
                <w:b/>
                <w:i w:val="0"/>
                <w:sz w:val="20"/>
              </w:rPr>
              <w:t>0.0%</w:t>
            </w:r>
          </w:p>
        </w:tc>
        <w:tc>
          <w:tcPr>
            <w:tcW w:type="dxa" w:w="1293"/>
          </w:tcPr>
          <w:p>
            <w:pPr>
              <w:spacing w:line="240" w:lineRule="auto" w:after="0"/>
            </w:pPr>
            <w:r>
              <w:rPr>
                <w:rFonts w:ascii="Times New Roman" w:hAnsi="Times New Roman"/>
                <w:b w:val="0"/>
                <w:i w:val="0"/>
                <w:sz w:val="20"/>
              </w:rPr>
              <w:t>[0.0%, 1.8%]</w:t>
            </w:r>
          </w:p>
        </w:tc>
      </w:tr>
      <w:tr>
        <w:tc>
          <w:tcPr>
            <w:tcW w:type="dxa" w:w="1293"/>
          </w:tcPr>
          <w:p>
            <w:pPr>
              <w:spacing w:line="240" w:lineRule="auto" w:after="0"/>
            </w:pPr>
            <w:r>
              <w:rPr>
                <w:rFonts w:ascii="Times New Roman" w:hAnsi="Times New Roman"/>
                <w:b w:val="0"/>
                <w:i w:val="0"/>
                <w:sz w:val="20"/>
              </w:rPr>
              <w:t>InternVL2.5-8B-AWQ (anchor)</w:t>
            </w:r>
          </w:p>
        </w:tc>
        <w:tc>
          <w:tcPr>
            <w:tcW w:type="dxa" w:w="1293"/>
          </w:tcPr>
          <w:p>
            <w:pPr>
              <w:spacing w:line="240" w:lineRule="auto" w:after="0"/>
            </w:pPr>
            <w:r>
              <w:rPr>
                <w:rFonts w:ascii="Times New Roman" w:hAnsi="Times New Roman"/>
                <w:b w:val="0"/>
                <w:i w:val="0"/>
                <w:sz w:val="20"/>
              </w:rPr>
              <w:t>230</w:t>
            </w:r>
          </w:p>
        </w:tc>
        <w:tc>
          <w:tcPr>
            <w:tcW w:type="dxa" w:w="1293"/>
          </w:tcPr>
          <w:p>
            <w:pPr>
              <w:spacing w:line="240" w:lineRule="auto" w:after="0"/>
            </w:pPr>
            <w:r>
              <w:rPr>
                <w:rFonts w:ascii="Times New Roman" w:hAnsi="Times New Roman"/>
                <w:b w:val="0"/>
                <w:i w:val="0"/>
                <w:sz w:val="20"/>
              </w:rPr>
              <w:t>0</w:t>
            </w:r>
          </w:p>
        </w:tc>
        <w:tc>
          <w:tcPr>
            <w:tcW w:type="dxa" w:w="1293"/>
          </w:tcPr>
          <w:p>
            <w:pPr>
              <w:spacing w:line="240" w:lineRule="auto" w:after="0"/>
            </w:pPr>
            <w:r>
              <w:rPr>
                <w:rFonts w:ascii="Times New Roman" w:hAnsi="Times New Roman"/>
                <w:b/>
                <w:i w:val="0"/>
                <w:sz w:val="20"/>
              </w:rPr>
              <w:t>0.0%</w:t>
            </w:r>
          </w:p>
        </w:tc>
        <w:tc>
          <w:tcPr>
            <w:tcW w:type="dxa" w:w="1293"/>
          </w:tcPr>
          <w:p>
            <w:pPr>
              <w:spacing w:line="240" w:lineRule="auto" w:after="0"/>
            </w:pPr>
            <w:r>
              <w:rPr>
                <w:rFonts w:ascii="Times New Roman" w:hAnsi="Times New Roman"/>
                <w:b w:val="0"/>
                <w:i w:val="0"/>
                <w:sz w:val="20"/>
              </w:rPr>
              <w:t>[0.0%, 1.6%]</w:t>
            </w:r>
          </w:p>
        </w:tc>
      </w:tr>
    </w:tbl>
    <w:p/>
    <w:p>
      <w:r>
        <w:rPr>
          <w:rFonts w:ascii="Times New Roman" w:hAnsi="Times New Roman"/>
          <w:b/>
          <w:i w:val="0"/>
          <w:sz w:val="20"/>
        </w:rPr>
        <w:t>The two modes decouple (Fig. 4).</w:t>
      </w:r>
      <w:r>
        <w:rPr>
          <w:rFonts w:ascii="Times New Roman" w:hAnsi="Times New Roman"/>
          <w:b w:val="0"/>
          <w:i w:val="0"/>
          <w:sz w:val="20"/>
        </w:rPr>
        <w:t xml:space="preserve"> On clean synthetic dots the base arm </w:t>
      </w:r>
      <w:r>
        <w:rPr>
          <w:rFonts w:ascii="Times New Roman" w:hAnsi="Times New Roman"/>
          <w:b/>
          <w:i w:val="0"/>
          <w:sz w:val="20"/>
        </w:rPr>
        <w:t>never abstains</w:t>
      </w:r>
      <w:r>
        <w:rPr>
          <w:rFonts w:ascii="Times New Roman" w:hAnsi="Times New Roman"/>
          <w:b w:val="0"/>
          <w:i w:val="0"/>
          <w:sz w:val="20"/>
        </w:rPr>
        <w:t xml:space="preserve"> yet still under-counts by </w:t>
      </w:r>
      <w:r>
        <w:rPr>
          <w:rFonts w:ascii="Times New Roman" w:hAnsi="Times New Roman"/>
          <w:b/>
          <w:i w:val="0"/>
          <w:sz w:val="20"/>
        </w:rPr>
        <w:t>up to 50%</w:t>
      </w:r>
      <w:r>
        <w:rPr>
          <w:rFonts w:ascii="Times New Roman" w:hAnsi="Times New Roman"/>
          <w:b w:val="0"/>
          <w:i w:val="0"/>
          <w:sz w:val="20"/>
        </w:rPr>
        <w:t xml:space="preserve">; in microscopy (BBBC005 [48]) abstention is </w:t>
      </w:r>
      <w:r>
        <w:rPr>
          <w:rFonts w:ascii="Times New Roman" w:hAnsi="Times New Roman"/>
          <w:b/>
          <w:i w:val="0"/>
          <w:sz w:val="20"/>
        </w:rPr>
        <w:t>0.0%</w:t>
      </w:r>
      <w:r>
        <w:rPr>
          <w:rFonts w:ascii="Times New Roman" w:hAnsi="Times New Roman"/>
          <w:b w:val="0"/>
          <w:i w:val="0"/>
          <w:sz w:val="20"/>
        </w:rPr>
        <w:t xml:space="preserve"> while the bias reaches </w:t>
      </w:r>
      <w:r>
        <w:rPr>
          <w:rFonts w:ascii="Times New Roman" w:hAnsi="Times New Roman"/>
          <w:b/>
          <w:i w:val="0"/>
          <w:sz w:val="20"/>
        </w:rPr>
        <w:t>−50.1%</w:t>
      </w:r>
      <w:r>
        <w:rPr>
          <w:rFonts w:ascii="Times New Roman" w:hAnsi="Times New Roman"/>
          <w:b w:val="0"/>
          <w:i w:val="0"/>
          <w:sz w:val="20"/>
        </w:rPr>
        <w:t>. Conversely, on dense crowds abstention is 50–70% while the answered-only bias is only −19.8% / −29.2%.</w:t>
      </w:r>
    </w:p>
    <w:p>
      <w:pPr>
        <w:spacing w:line="240" w:lineRule="auto"/>
        <w:jc w:val="center"/>
      </w:pPr>
      <w:r>
        <w:drawing>
          <wp:inline xmlns:a="http://schemas.openxmlformats.org/drawingml/2006/main" xmlns:pic="http://schemas.openxmlformats.org/drawingml/2006/picture">
            <wp:extent cx="2736000" cy="1985806"/>
            <wp:docPr id="4" name="Picture 4"/>
            <wp:cNvGraphicFramePr>
              <a:graphicFrameLocks noChangeAspect="1"/>
            </wp:cNvGraphicFramePr>
            <a:graphic>
              <a:graphicData uri="http://schemas.openxmlformats.org/drawingml/2006/picture">
                <pic:pic>
                  <pic:nvPicPr>
                    <pic:cNvPr id="0" name="F11_abstention_vs_undercount.png"/>
                    <pic:cNvPicPr/>
                  </pic:nvPicPr>
                  <pic:blipFill>
                    <a:blip r:embed="rId13"/>
                    <a:stretch>
                      <a:fillRect/>
                    </a:stretch>
                  </pic:blipFill>
                  <pic:spPr>
                    <a:xfrm>
                      <a:off x="0" y="0"/>
                      <a:ext cx="2736000" cy="1985806"/>
                    </a:xfrm>
                    <a:prstGeom prst="rect"/>
                  </pic:spPr>
                </pic:pic>
              </a:graphicData>
            </a:graphic>
          </wp:inline>
        </w:drawing>
      </w:r>
    </w:p>
    <w:p>
      <w:r>
        <w:rPr>
          <w:rFonts w:ascii="Times New Roman" w:hAnsi="Times New Roman"/>
          <w:b/>
          <w:i w:val="0"/>
          <w:sz w:val="16"/>
        </w:rPr>
        <w:t>Fig. 4.</w:t>
      </w:r>
      <w:r>
        <w:rPr>
          <w:rFonts w:ascii="Times New Roman" w:hAnsi="Times New Roman"/>
          <w:b w:val="0"/>
          <w:i w:val="0"/>
          <w:sz w:val="16"/>
        </w:rPr>
        <w:t xml:space="preserve"> The four-panel separation of the two failure modes: abstention and under-count decouple.</w:t>
      </w:r>
    </w:p>
    <w:p>
      <w:r>
        <w:rPr>
          <w:rFonts w:ascii="Times New Roman" w:hAnsi="Times New Roman"/>
          <w:b w:val="0"/>
          <w:i w:val="0"/>
          <w:sz w:val="20"/>
        </w:rPr>
        <w:t>(Appendix M.34)</w:t>
      </w:r>
    </w:p>
    <w:p>
      <w:r>
        <w:rPr>
          <w:rFonts w:ascii="Times New Roman" w:hAnsi="Times New Roman"/>
          <w:b/>
          <w:i w:val="0"/>
          <w:sz w:val="20"/>
        </w:rPr>
        <w:t>Legibility is a usable selector, but cannot repair direction.</w:t>
      </w:r>
      <w:r>
        <w:rPr>
          <w:rFonts w:ascii="Times New Roman" w:hAnsi="Times New Roman"/>
          <w:b w:val="0"/>
          <w:i w:val="0"/>
          <w:sz w:val="20"/>
        </w:rPr>
        <w:t xml:space="preserve"> Keeping the most legible 20% reduces MAE by </w:t>
      </w:r>
      <w:r>
        <w:rPr>
          <w:rFonts w:ascii="Times New Roman" w:hAnsi="Times New Roman"/>
          <w:b/>
          <w:i w:val="0"/>
          <w:sz w:val="20"/>
        </w:rPr>
        <w:t>31–66%</w:t>
      </w:r>
      <w:r>
        <w:rPr>
          <w:rFonts w:ascii="Times New Roman" w:hAnsi="Times New Roman"/>
          <w:b w:val="0"/>
          <w:i w:val="0"/>
          <w:sz w:val="20"/>
        </w:rPr>
        <w:t xml:space="preserve"> while the relative deviation only attenuates from </w:t>
      </w:r>
      <w:r>
        <w:rPr>
          <w:rFonts w:ascii="Times New Roman" w:hAnsi="Times New Roman"/>
          <w:b/>
          <w:i w:val="0"/>
          <w:sz w:val="20"/>
        </w:rPr>
        <w:t>−85.0%</w:t>
      </w:r>
      <w:r>
        <w:rPr>
          <w:rFonts w:ascii="Times New Roman" w:hAnsi="Times New Roman"/>
          <w:b w:val="0"/>
          <w:i w:val="0"/>
          <w:sz w:val="20"/>
        </w:rPr>
        <w:t xml:space="preserve"> to </w:t>
      </w:r>
      <w:r>
        <w:rPr>
          <w:rFonts w:ascii="Times New Roman" w:hAnsi="Times New Roman"/>
          <w:b/>
          <w:i w:val="0"/>
          <w:sz w:val="20"/>
        </w:rPr>
        <w:t>−53.4%</w:t>
      </w:r>
      <w:r>
        <w:rPr>
          <w:rFonts w:ascii="Times New Roman" w:hAnsi="Times New Roman"/>
          <w:b w:val="0"/>
          <w:i w:val="0"/>
          <w:sz w:val="20"/>
        </w:rPr>
        <w:t xml:space="preserve"> — still a systematic under-count of more than half (selector AUC </w:t>
      </w:r>
      <w:r>
        <w:rPr>
          <w:rFonts w:ascii="Times New Roman" w:hAnsi="Times New Roman"/>
          <w:b/>
          <w:i w:val="0"/>
          <w:sz w:val="20"/>
        </w:rPr>
        <w:t>0.753–0.786</w:t>
      </w:r>
      <w:r>
        <w:rPr>
          <w:rFonts w:ascii="Times New Roman" w:hAnsi="Times New Roman"/>
          <w:b w:val="0"/>
          <w:i w:val="0"/>
          <w:sz w:val="20"/>
        </w:rPr>
        <w:t xml:space="preserve">). What gates abstention is </w:t>
      </w:r>
      <w:r>
        <w:rPr>
          <w:rFonts w:ascii="Times New Roman" w:hAnsi="Times New Roman"/>
          <w:b/>
          <w:i w:val="0"/>
          <w:sz w:val="20"/>
        </w:rPr>
        <w:t>blur, not resolution</w:t>
      </w:r>
      <w:r>
        <w:rPr>
          <w:rFonts w:ascii="Times New Roman" w:hAnsi="Times New Roman"/>
          <w:b w:val="0"/>
          <w:i w:val="0"/>
          <w:sz w:val="20"/>
        </w:rPr>
        <w:t>: downscaling to 15% of the pixels gives almost no abstention (</w:t>
      </w:r>
      <w:r>
        <w:rPr>
          <w:rFonts w:ascii="Times New Roman" w:hAnsi="Times New Roman"/>
          <w:b/>
          <w:i w:val="0"/>
          <w:sz w:val="20"/>
        </w:rPr>
        <w:t>0.6%</w:t>
      </w:r>
      <w:r>
        <w:rPr>
          <w:rFonts w:ascii="Times New Roman" w:hAnsi="Times New Roman"/>
          <w:b w:val="0"/>
          <w:i w:val="0"/>
          <w:sz w:val="20"/>
        </w:rPr>
        <w:t xml:space="preserve">) whereas blurring the </w:t>
      </w:r>
      <w:r>
        <w:rPr>
          <w:rFonts w:ascii="Times New Roman" w:hAnsi="Times New Roman"/>
          <w:b w:val="0"/>
          <w:i/>
          <w:sz w:val="20"/>
        </w:rPr>
        <w:t>same</w:t>
      </w:r>
      <w:r>
        <w:rPr>
          <w:rFonts w:ascii="Times New Roman" w:hAnsi="Times New Roman"/>
          <w:b w:val="0"/>
          <w:i w:val="0"/>
          <w:sz w:val="20"/>
        </w:rPr>
        <w:t xml:space="preserve"> image and frames gives </w:t>
      </w:r>
      <w:r>
        <w:rPr>
          <w:rFonts w:ascii="Times New Roman" w:hAnsi="Times New Roman"/>
          <w:b/>
          <w:i w:val="0"/>
          <w:sz w:val="20"/>
        </w:rPr>
        <w:t>9.1%</w:t>
      </w:r>
      <w:r>
        <w:rPr>
          <w:rFonts w:ascii="Times New Roman" w:hAnsi="Times New Roman"/>
          <w:b w:val="0"/>
          <w:i w:val="0"/>
          <w:sz w:val="20"/>
        </w:rPr>
        <w:t xml:space="preserve"> (</w:t>
      </w:r>
      <w:r>
        <w:rPr>
          <w:rFonts w:ascii="Times New Roman" w:hAnsi="Times New Roman"/>
          <w:b/>
          <w:i w:val="0"/>
          <w:sz w:val="20"/>
        </w:rPr>
        <w:t>+8.6 pp</w:t>
      </w:r>
      <w:r>
        <w:rPr>
          <w:rFonts w:ascii="Times New Roman" w:hAnsi="Times New Roman"/>
          <w:b w:val="0"/>
          <w:i w:val="0"/>
          <w:sz w:val="20"/>
        </w:rPr>
        <w:t>, paired, n = 900); the gate reproduces in three further lineages on a controlled disc grid, where the permitted contract leaves no zeros (M.19.10).</w:t>
      </w:r>
    </w:p>
    <w:p>
      <w:pPr>
        <w:pStyle w:val="Heading3"/>
      </w:pPr>
      <w:r>
        <w:rPr>
          <w:rFonts w:ascii="Times New Roman" w:hAnsi="Times New Roman"/>
          <w:b/>
          <w:i w:val="0"/>
          <w:sz w:val="20"/>
        </w:rPr>
        <w:t>5.8 The two routes to removing abstention, and their price</w:t>
      </w:r>
    </w:p>
    <w:p>
      <w:r>
        <w:rPr>
          <w:rFonts w:ascii="Times New Roman" w:hAnsi="Times New Roman"/>
          <w:b/>
          <w:i w:val="0"/>
          <w:sz w:val="20"/>
        </w:rPr>
        <w:t>Route A — tiling (raise legibility; preserves accuracy)</w:t>
      </w:r>
      <w:r>
        <w:rPr>
          <w:rFonts w:ascii="Times New Roman" w:hAnsi="Times New Roman"/>
          <w:b w:val="0"/>
          <w:i w:val="0"/>
          <w:sz w:val="20"/>
        </w:rPr>
        <w:t xml:space="preserve"> reduces the ShanghaiTech-A abstention rate from </w:t>
      </w:r>
      <w:r>
        <w:rPr>
          <w:rFonts w:ascii="Times New Roman" w:hAnsi="Times New Roman"/>
          <w:b/>
          <w:i w:val="0"/>
          <w:sz w:val="20"/>
        </w:rPr>
        <w:t>56.6%</w:t>
      </w:r>
      <w:r>
        <w:rPr>
          <w:rFonts w:ascii="Times New Roman" w:hAnsi="Times New Roman"/>
          <w:b w:val="0"/>
          <w:i w:val="0"/>
          <w:sz w:val="20"/>
        </w:rPr>
        <w:t xml:space="preserve"> to </w:t>
      </w:r>
      <w:r>
        <w:rPr>
          <w:rFonts w:ascii="Times New Roman" w:hAnsi="Times New Roman"/>
          <w:b/>
          <w:i w:val="0"/>
          <w:sz w:val="20"/>
        </w:rPr>
        <w:t>0.0%</w:t>
      </w:r>
      <w:r>
        <w:rPr>
          <w:rFonts w:ascii="Times New Roman" w:hAnsi="Times New Roman"/>
          <w:b w:val="0"/>
          <w:i w:val="0"/>
          <w:sz w:val="20"/>
        </w:rPr>
        <w:t xml:space="preserve"> while leaving direction intact, and lifts the suppressed directional authority of prompts in the aerial domain (+13.9% whole-image to </w:t>
      </w:r>
      <w:r>
        <w:rPr>
          <w:rFonts w:ascii="Times New Roman" w:hAnsi="Times New Roman"/>
          <w:b/>
          <w:i w:val="0"/>
          <w:sz w:val="20"/>
        </w:rPr>
        <w:t>+160.4%</w:t>
      </w:r>
      <w:r>
        <w:rPr>
          <w:rFonts w:ascii="Times New Roman" w:hAnsi="Times New Roman"/>
          <w:b w:val="0"/>
          <w:i w:val="0"/>
          <w:sz w:val="20"/>
        </w:rPr>
        <w:t xml:space="preserve"> at 3×3). </w:t>
      </w:r>
      <w:r>
        <w:rPr>
          <w:rFonts w:ascii="Times New Roman" w:hAnsi="Times New Roman"/>
          <w:b/>
          <w:i w:val="0"/>
          <w:sz w:val="20"/>
        </w:rPr>
        <w:t>Route B</w:t>
      </w:r>
      <w:r>
        <w:rPr>
          <w:rFonts w:ascii="Times New Roman" w:hAnsi="Times New Roman"/>
          <w:b w:val="0"/>
          <w:i w:val="0"/>
          <w:sz w:val="20"/>
        </w:rPr>
        <w:t xml:space="preserve"> cannot obtain both. (M.8, M.11)</w:t>
      </w:r>
    </w:p>
    <w:p>
      <w:pPr>
        <w:pStyle w:val="Heading3"/>
      </w:pPr>
      <w:r>
        <w:rPr>
          <w:rFonts w:ascii="Times New Roman" w:hAnsi="Times New Roman"/>
          <w:b/>
          <w:i w:val="0"/>
          <w:sz w:val="20"/>
        </w:rPr>
        <w:t>5.9 Model scale: what is bought is knowing whether to answer</w:t>
      </w:r>
    </w:p>
    <w:p>
      <w:r>
        <w:rPr>
          <w:rFonts w:ascii="Times New Roman" w:hAnsi="Times New Roman"/>
          <w:b w:val="0"/>
          <w:i w:val="0"/>
          <w:sz w:val="20"/>
        </w:rPr>
        <w:t xml:space="preserve">Comparing 8B and 32B of one lineage (a clean 4× contrast), the 8B model's answered-only deviation is </w:t>
      </w:r>
      <w:r>
        <w:rPr>
          <w:rFonts w:ascii="Times New Roman" w:hAnsi="Times New Roman"/>
          <w:b/>
          <w:i w:val="0"/>
          <w:sz w:val="20"/>
        </w:rPr>
        <w:t>more negative</w:t>
      </w:r>
      <w:r>
        <w:rPr>
          <w:rFonts w:ascii="Times New Roman" w:hAnsi="Times New Roman"/>
          <w:b w:val="0"/>
          <w:i w:val="0"/>
          <w:sz w:val="20"/>
        </w:rPr>
        <w:t xml:space="preserve"> on that metric — a directional reading, not an accuracy claim (Appendices L.1, M.8, M.11).</w:t>
      </w:r>
    </w:p>
    <w:p>
      <w:pPr>
        <w:pStyle w:val="Heading3"/>
      </w:pPr>
      <w:r>
        <w:rPr>
          <w:rFonts w:ascii="Times New Roman" w:hAnsi="Times New Roman"/>
          <w:b/>
          <w:i w:val="0"/>
          <w:sz w:val="20"/>
        </w:rPr>
        <w:t>5.10 Aerial domain: the legibility extreme</w:t>
      </w:r>
    </w:p>
    <w:p>
      <w:r>
        <w:rPr>
          <w:rFonts w:ascii="Times New Roman" w:hAnsi="Times New Roman"/>
          <w:b w:val="0"/>
          <w:i w:val="0"/>
          <w:sz w:val="20"/>
        </w:rPr>
        <w:t xml:space="preserve">VisDrone and AI-TOD are the legibility extreme, and their bottleneck is instance </w:t>
      </w:r>
      <w:r>
        <w:rPr>
          <w:rFonts w:ascii="Times New Roman" w:hAnsi="Times New Roman"/>
          <w:b/>
          <w:i w:val="0"/>
          <w:sz w:val="20"/>
        </w:rPr>
        <w:t>under-resolution</w:t>
      </w:r>
      <w:r>
        <w:rPr>
          <w:rFonts w:ascii="Times New Roman" w:hAnsi="Times New Roman"/>
          <w:b w:val="0"/>
          <w:i w:val="0"/>
          <w:sz w:val="20"/>
        </w:rPr>
        <w:t xml:space="preserve"> whereas the crowd bottleneck is overlap (Appendix M.29).</w:t>
      </w:r>
    </w:p>
    <w:p>
      <w:pPr>
        <w:pStyle w:val="Heading3"/>
      </w:pPr>
      <w:r>
        <w:rPr>
          <w:rFonts w:ascii="Times New Roman" w:hAnsi="Times New Roman"/>
          <w:b/>
          <w:i w:val="0"/>
          <w:sz w:val="20"/>
        </w:rPr>
        <w:t>5.11 A quantitative consequence of abstention (two more in Appendix M.28)</w:t>
      </w:r>
    </w:p>
    <w:p>
      <w:r>
        <w:rPr>
          <w:rFonts w:ascii="Times New Roman" w:hAnsi="Times New Roman"/>
          <w:b/>
          <w:i w:val="0"/>
          <w:sz w:val="20"/>
        </w:rPr>
        <w:t>(a) Counting abstentions as zero inflates "under-estimation", so a dual convention is required.</w:t>
      </w:r>
      <w:r>
        <w:rPr>
          <w:rFonts w:ascii="Times New Roman" w:hAnsi="Times New Roman"/>
          <w:b w:val="0"/>
          <w:i w:val="0"/>
          <w:sz w:val="20"/>
        </w:rPr>
        <w:t xml:space="preserve"> On the same data the pooled relative deviation differs between "abstentions counted as 0" and "answered items only" by </w:t>
      </w:r>
      <w:r>
        <w:rPr>
          <w:rFonts w:ascii="Times New Roman" w:hAnsi="Times New Roman"/>
          <w:b/>
          <w:i w:val="0"/>
          <w:sz w:val="20"/>
        </w:rPr>
        <w:t>61.3 pp</w:t>
      </w:r>
      <w:r>
        <w:rPr>
          <w:rFonts w:ascii="Times New Roman" w:hAnsi="Times New Roman"/>
          <w:b w:val="0"/>
          <w:i w:val="0"/>
          <w:sz w:val="20"/>
        </w:rPr>
        <w:t xml:space="preserve"> (ShanghaiTech-A), </w:t>
      </w:r>
      <w:r>
        <w:rPr>
          <w:rFonts w:ascii="Times New Roman" w:hAnsi="Times New Roman"/>
          <w:b/>
          <w:i w:val="0"/>
          <w:sz w:val="20"/>
        </w:rPr>
        <w:t>57.5 pp</w:t>
      </w:r>
      <w:r>
        <w:rPr>
          <w:rFonts w:ascii="Times New Roman" w:hAnsi="Times New Roman"/>
          <w:b w:val="0"/>
          <w:i w:val="0"/>
          <w:sz w:val="20"/>
        </w:rPr>
        <w:t xml:space="preserve"> (UCF) and </w:t>
      </w:r>
      <w:r>
        <w:rPr>
          <w:rFonts w:ascii="Times New Roman" w:hAnsi="Times New Roman"/>
          <w:b/>
          <w:i w:val="0"/>
          <w:sz w:val="20"/>
        </w:rPr>
        <w:t>40.6 pp</w:t>
      </w:r>
      <w:r>
        <w:rPr>
          <w:rFonts w:ascii="Times New Roman" w:hAnsi="Times New Roman"/>
          <w:b w:val="0"/>
          <w:i w:val="0"/>
          <w:sz w:val="20"/>
        </w:rPr>
        <w:t xml:space="preserve"> (AI-TOD and VisDrone) (M.8). Proposition 4 expresses this gap as -(1-w)(1+ρ_answered), so these four values are a </w:t>
      </w:r>
      <w:r>
        <w:rPr>
          <w:rFonts w:ascii="Times New Roman" w:hAnsi="Times New Roman"/>
          <w:b/>
          <w:i w:val="0"/>
          <w:sz w:val="20"/>
        </w:rPr>
        <w:t>consistency check on the numbers printed in this paper</w:t>
      </w:r>
      <w:r>
        <w:rPr>
          <w:rFonts w:ascii="Times New Roman" w:hAnsi="Times New Roman"/>
          <w:b w:val="0"/>
          <w:i w:val="0"/>
          <w:sz w:val="20"/>
        </w:rPr>
        <w:t>, not an independent empirical prediction.</w:t>
      </w:r>
    </w:p>
    <w:p>
      <w:pPr>
        <w:pStyle w:val="Heading3"/>
      </w:pPr>
      <w:r>
        <w:rPr>
          <w:rFonts w:ascii="Times New Roman" w:hAnsi="Times New Roman"/>
          <w:b/>
          <w:i w:val="0"/>
          <w:sz w:val="20"/>
        </w:rPr>
        <w:t>5.12 What a single convention costs: the ranking moves</w:t>
      </w:r>
    </w:p>
    <w:p>
      <w:r>
        <w:rPr>
          <w:rFonts w:ascii="Times New Roman" w:hAnsi="Times New Roman"/>
          <w:b w:val="0"/>
          <w:i w:val="0"/>
          <w:sz w:val="20"/>
        </w:rPr>
        <w:t xml:space="preserve">The two conventions are not bookkeeping alternatives. On the </w:t>
      </w:r>
      <w:r>
        <w:rPr>
          <w:rFonts w:ascii="Times New Roman" w:hAnsi="Times New Roman"/>
          <w:b/>
          <w:i w:val="0"/>
          <w:sz w:val="20"/>
        </w:rPr>
        <w:t>same items</w:t>
      </w:r>
      <w:r>
        <w:rPr>
          <w:rFonts w:ascii="Times New Roman" w:hAnsi="Times New Roman"/>
          <w:b w:val="0"/>
          <w:i w:val="0"/>
          <w:sz w:val="20"/>
        </w:rPr>
        <w:t xml:space="preserve"> of our own census — up to </w:t>
      </w:r>
      <w:r>
        <w:rPr>
          <w:rFonts w:ascii="Times New Roman" w:hAnsi="Times New Roman"/>
          <w:b/>
          <w:i w:val="0"/>
          <w:sz w:val="20"/>
        </w:rPr>
        <w:t>fourteen</w:t>
      </w:r>
      <w:r>
        <w:rPr>
          <w:rFonts w:ascii="Times New Roman" w:hAnsi="Times New Roman"/>
          <w:b w:val="0"/>
          <w:i w:val="0"/>
          <w:sz w:val="20"/>
        </w:rPr>
        <w:t xml:space="preserve"> configurations over the </w:t>
      </w:r>
      <w:r>
        <w:rPr>
          <w:rFonts w:ascii="Times New Roman" w:hAnsi="Times New Roman"/>
          <w:b/>
          <w:i w:val="0"/>
          <w:sz w:val="20"/>
        </w:rPr>
        <w:t>four</w:t>
      </w:r>
      <w:r>
        <w:rPr>
          <w:rFonts w:ascii="Times New Roman" w:hAnsi="Times New Roman"/>
          <w:b w:val="0"/>
          <w:i w:val="0"/>
          <w:sz w:val="20"/>
        </w:rPr>
        <w:t xml:space="preserve"> domains that admit a common item intersection, zero and non-zero pools pooled within a domain, so that no rank difference can come from different denominators (the quantities and denominators are defined in M.21) — the convention changes how large a configuration's measured bias appears, and in the dense domains changes the order:</w:t>
      </w:r>
    </w:p>
    <w:p>
      <w:r>
        <w:rPr>
          <w:rFonts w:ascii="Times New Roman" w:hAnsi="Times New Roman"/>
          <w:b/>
          <w:i w:val="0"/>
          <w:sz w:val="20"/>
        </w:rPr>
        <w:t>Table 5.</w:t>
      </w:r>
      <w:r>
        <w:rPr>
          <w:rFonts w:ascii="Times New Roman" w:hAnsi="Times New Roman"/>
          <w:b w:val="0"/>
          <w:i w:val="0"/>
          <w:sz w:val="20"/>
        </w:rPr>
        <w:t xml:space="preserve"> What one convention costs. The two ranked columns use </w:t>
      </w:r>
      <w:r>
        <w:rPr>
          <w:rFonts w:ascii="Times New Roman" w:hAnsi="Times New Roman"/>
          <w:b/>
          <w:i w:val="0"/>
          <w:sz w:val="20"/>
        </w:rPr>
        <w:t>two orderings</w:t>
      </w:r>
      <w:r>
        <w:rPr>
          <w:rFonts w:ascii="Times New Roman" w:hAnsi="Times New Roman"/>
          <w:b w:val="0"/>
          <w:i w:val="0"/>
          <w:sz w:val="20"/>
        </w:rPr>
        <w:t xml:space="preserve">: the Spearman is on </w:t>
      </w:r>
      <w:r>
        <w:rPr>
          <w:rFonts w:ascii="Times New Roman" w:hAnsi="Times New Roman"/>
          <w:b/>
          <w:i w:val="0"/>
          <w:sz w:val="20"/>
        </w:rPr>
        <w:t>|ρ|</w:t>
      </w:r>
      <w:r>
        <w:rPr>
          <w:rFonts w:ascii="Times New Roman" w:hAnsi="Times New Roman"/>
          <w:b w:val="0"/>
          <w:i w:val="0"/>
          <w:sz w:val="20"/>
        </w:rPr>
        <w:t xml:space="preserve">, the inversion count on the </w:t>
      </w:r>
      <w:r>
        <w:rPr>
          <w:rFonts w:ascii="Times New Roman" w:hAnsi="Times New Roman"/>
          <w:b/>
          <w:i w:val="0"/>
          <w:sz w:val="20"/>
        </w:rPr>
        <w:t>signed</w:t>
      </w:r>
      <w:r>
        <w:rPr>
          <w:rFonts w:ascii="Times New Roman" w:hAnsi="Times New Roman"/>
          <w:b w:val="0"/>
          <w:i w:val="0"/>
          <w:sz w:val="20"/>
        </w:rPr>
        <w:t xml:space="preserve"> ρ.</w:t>
      </w:r>
    </w:p>
    <w:tbl>
      <w:tblPr>
        <w:tblW w:type="auto" w:w="0"/>
        <w:tblLook w:firstColumn="1" w:firstRow="1" w:lastColumn="0" w:lastRow="0" w:noHBand="0" w:noVBand="1" w:val="04A0"/>
        <w:tblBorders>
          <w:top w:val="single" w:sz="4" w:color="000000"/>
          <w:bottom w:val="single" w:sz="4" w:color="000000"/>
          <w:insideH w:val="single" w:sz="4" w:color="000000"/>
          <w:left w:val="none" w:sz="0"/>
          <w:right w:val="none" w:sz="0"/>
          <w:insideV w:val="none" w:sz="0"/>
        </w:tblBorders>
      </w:tblPr>
      <w:tblGrid>
        <w:gridCol w:w="808"/>
        <w:gridCol w:w="808"/>
        <w:gridCol w:w="808"/>
        <w:gridCol w:w="808"/>
        <w:gridCol w:w="808"/>
        <w:gridCol w:w="808"/>
        <w:gridCol w:w="808"/>
        <w:gridCol w:w="808"/>
      </w:tblGrid>
      <w:tr>
        <w:tc>
          <w:tcPr>
            <w:tcW w:type="dxa" w:w="808"/>
          </w:tcPr>
          <w:p>
            <w:pPr>
              <w:spacing w:line="240" w:lineRule="auto" w:after="0"/>
            </w:pPr>
            <w:r>
              <w:rPr>
                <w:rFonts w:ascii="Times New Roman" w:hAnsi="Times New Roman"/>
                <w:b/>
                <w:i w:val="0"/>
                <w:sz w:val="20"/>
              </w:rPr>
              <w:t>domain</w:t>
            </w:r>
          </w:p>
        </w:tc>
        <w:tc>
          <w:tcPr>
            <w:tcW w:type="dxa" w:w="808"/>
          </w:tcPr>
          <w:p>
            <w:pPr>
              <w:spacing w:line="240" w:lineRule="auto" w:after="0"/>
            </w:pPr>
            <w:r>
              <w:rPr>
                <w:rFonts w:ascii="Times New Roman" w:hAnsi="Times New Roman"/>
                <w:b/>
                <w:i w:val="0"/>
                <w:sz w:val="20"/>
              </w:rPr>
              <w:t>configurations</w:t>
            </w:r>
          </w:p>
        </w:tc>
        <w:tc>
          <w:tcPr>
            <w:tcW w:type="dxa" w:w="808"/>
          </w:tcPr>
          <w:p>
            <w:pPr>
              <w:spacing w:line="240" w:lineRule="auto" w:after="0"/>
            </w:pPr>
            <w:r>
              <w:rPr>
                <w:rFonts w:ascii="Times New Roman" w:hAnsi="Times New Roman"/>
                <w:b/>
                <w:i w:val="0"/>
                <w:sz w:val="20"/>
              </w:rPr>
              <w:t>common n</w:t>
            </w:r>
          </w:p>
        </w:tc>
        <w:tc>
          <w:tcPr>
            <w:tcW w:type="dxa" w:w="808"/>
          </w:tcPr>
          <w:p>
            <w:pPr>
              <w:spacing w:line="240" w:lineRule="auto" w:after="0"/>
            </w:pPr>
            <w:r>
              <w:rPr>
                <w:rFonts w:ascii="Times New Roman" w:hAnsi="Times New Roman"/>
                <w:b/>
                <w:i w:val="0"/>
                <w:sz w:val="20"/>
              </w:rPr>
              <w:t>Spearman between the two rankings</w:t>
            </w:r>
          </w:p>
        </w:tc>
        <w:tc>
          <w:tcPr>
            <w:tcW w:type="dxa" w:w="808"/>
          </w:tcPr>
          <w:p>
            <w:pPr>
              <w:spacing w:line="240" w:lineRule="auto" w:after="0"/>
            </w:pPr>
            <w:r>
              <w:rPr>
                <w:rFonts w:ascii="Times New Roman" w:hAnsi="Times New Roman"/>
                <w:b/>
                <w:i w:val="0"/>
                <w:sz w:val="20"/>
              </w:rPr>
              <w:t>largest single \</w:t>
            </w:r>
          </w:p>
        </w:tc>
        <w:tc>
          <w:tcPr>
            <w:tcW w:type="dxa" w:w="808"/>
          </w:tcPr>
          <w:p>
            <w:pPr>
              <w:spacing w:line="240" w:lineRule="auto" w:after="0"/>
            </w:pPr>
            <w:r>
              <w:rPr>
                <w:rFonts w:ascii="Times New Roman" w:hAnsi="Times New Roman"/>
                <w:b/>
                <w:i w:val="0"/>
                <w:sz w:val="20"/>
              </w:rPr>
              <w:t>Δρ\</w:t>
            </w:r>
          </w:p>
        </w:tc>
        <w:tc>
          <w:tcPr>
            <w:tcW w:type="dxa" w:w="808"/>
          </w:tcPr>
          <w:p>
            <w:pPr>
              <w:spacing w:line="240" w:lineRule="auto" w:after="0"/>
            </w:pPr>
          </w:p>
        </w:tc>
        <w:tc>
          <w:tcPr>
            <w:tcW w:type="dxa" w:w="808"/>
          </w:tcPr>
          <w:p>
            <w:pPr>
              <w:spacing w:line="240" w:lineRule="auto" w:after="0"/>
            </w:pPr>
            <w:r>
              <w:rPr>
                <w:rFonts w:ascii="Times New Roman" w:hAnsi="Times New Roman"/>
                <w:b/>
                <w:i w:val="0"/>
                <w:sz w:val="20"/>
              </w:rPr>
              <w:t>rank-pair inversions</w:t>
            </w:r>
          </w:p>
        </w:tc>
      </w:tr>
      <w:tr>
        <w:tc>
          <w:tcPr>
            <w:tcW w:type="dxa" w:w="808"/>
          </w:tcPr>
          <w:p>
            <w:pPr>
              <w:spacing w:line="240" w:lineRule="auto" w:after="0"/>
            </w:pPr>
            <w:r>
              <w:rPr>
                <w:rFonts w:ascii="Times New Roman" w:hAnsi="Times New Roman"/>
                <w:b w:val="0"/>
                <w:i w:val="0"/>
                <w:sz w:val="20"/>
              </w:rPr>
              <w:t>ShanghaiTech-A</w:t>
            </w:r>
          </w:p>
        </w:tc>
        <w:tc>
          <w:tcPr>
            <w:tcW w:type="dxa" w:w="808"/>
          </w:tcPr>
          <w:p>
            <w:pPr>
              <w:spacing w:line="240" w:lineRule="auto" w:after="0"/>
            </w:pPr>
            <w:r>
              <w:rPr>
                <w:rFonts w:ascii="Times New Roman" w:hAnsi="Times New Roman"/>
                <w:b w:val="0"/>
                <w:i w:val="0"/>
                <w:sz w:val="20"/>
              </w:rPr>
              <w:t>14</w:t>
            </w:r>
          </w:p>
        </w:tc>
        <w:tc>
          <w:tcPr>
            <w:tcW w:type="dxa" w:w="808"/>
          </w:tcPr>
          <w:p>
            <w:pPr>
              <w:spacing w:line="240" w:lineRule="auto" w:after="0"/>
            </w:pPr>
            <w:r>
              <w:rPr>
                <w:rFonts w:ascii="Times New Roman" w:hAnsi="Times New Roman"/>
                <w:b w:val="0"/>
                <w:i w:val="0"/>
                <w:sz w:val="20"/>
              </w:rPr>
              <w:t>144</w:t>
            </w:r>
          </w:p>
        </w:tc>
        <w:tc>
          <w:tcPr>
            <w:tcW w:type="dxa" w:w="808"/>
          </w:tcPr>
          <w:p>
            <w:pPr>
              <w:spacing w:line="240" w:lineRule="auto" w:after="0"/>
            </w:pPr>
            <w:r>
              <w:rPr>
                <w:rFonts w:ascii="Times New Roman" w:hAnsi="Times New Roman"/>
                <w:b/>
                <w:i w:val="0"/>
                <w:sz w:val="20"/>
              </w:rPr>
              <w:t>0.604</w:t>
            </w:r>
          </w:p>
        </w:tc>
        <w:tc>
          <w:tcPr>
            <w:tcW w:type="dxa" w:w="808"/>
          </w:tcPr>
          <w:p>
            <w:pPr>
              <w:spacing w:line="240" w:lineRule="auto" w:after="0"/>
            </w:pPr>
            <w:r>
              <w:rPr>
                <w:rFonts w:ascii="Times New Roman" w:hAnsi="Times New Roman"/>
                <w:b/>
                <w:i w:val="0"/>
                <w:sz w:val="20"/>
              </w:rPr>
              <w:t>48.2 pp</w:t>
            </w:r>
          </w:p>
        </w:tc>
        <w:tc>
          <w:tcPr>
            <w:tcW w:type="dxa" w:w="808"/>
          </w:tcPr>
          <w:p>
            <w:pPr>
              <w:spacing w:line="240" w:lineRule="auto" w:after="0"/>
            </w:pPr>
            <w:r>
              <w:rPr>
                <w:rFonts w:ascii="Times New Roman" w:hAnsi="Times New Roman"/>
                <w:b w:val="0"/>
                <w:i w:val="0"/>
                <w:sz w:val="20"/>
              </w:rPr>
              <w:t>17 of 91</w:t>
            </w:r>
          </w:p>
        </w:tc>
        <w:tc>
          <w:tcPr>
            <w:tcW w:type="dxa" w:w="808"/>
          </w:tcPr>
          <w:p>
            <w:pPr>
              <w:spacing w:line="240" w:lineRule="auto" w:after="0"/>
            </w:pPr>
          </w:p>
        </w:tc>
        <w:tc>
          <w:tcPr>
            <w:tcW w:type="dxa" w:w="808"/>
          </w:tcPr>
          <w:p>
            <w:pPr>
              <w:spacing w:line="240" w:lineRule="auto" w:after="0"/>
            </w:pPr>
          </w:p>
        </w:tc>
      </w:tr>
      <w:tr>
        <w:tc>
          <w:tcPr>
            <w:tcW w:type="dxa" w:w="808"/>
          </w:tcPr>
          <w:p>
            <w:pPr>
              <w:spacing w:line="240" w:lineRule="auto" w:after="0"/>
            </w:pPr>
            <w:r>
              <w:rPr>
                <w:rFonts w:ascii="Times New Roman" w:hAnsi="Times New Roman"/>
                <w:b w:val="0"/>
                <w:i w:val="0"/>
                <w:sz w:val="20"/>
              </w:rPr>
              <w:t>UCF-QNRF</w:t>
            </w:r>
          </w:p>
        </w:tc>
        <w:tc>
          <w:tcPr>
            <w:tcW w:type="dxa" w:w="808"/>
          </w:tcPr>
          <w:p>
            <w:pPr>
              <w:spacing w:line="240" w:lineRule="auto" w:after="0"/>
            </w:pPr>
            <w:r>
              <w:rPr>
                <w:rFonts w:ascii="Times New Roman" w:hAnsi="Times New Roman"/>
                <w:b w:val="0"/>
                <w:i w:val="0"/>
                <w:sz w:val="20"/>
              </w:rPr>
              <w:t>14</w:t>
            </w:r>
          </w:p>
        </w:tc>
        <w:tc>
          <w:tcPr>
            <w:tcW w:type="dxa" w:w="808"/>
          </w:tcPr>
          <w:p>
            <w:pPr>
              <w:spacing w:line="240" w:lineRule="auto" w:after="0"/>
            </w:pPr>
            <w:r>
              <w:rPr>
                <w:rFonts w:ascii="Times New Roman" w:hAnsi="Times New Roman"/>
                <w:b w:val="0"/>
                <w:i w:val="0"/>
                <w:sz w:val="20"/>
              </w:rPr>
              <w:t>249</w:t>
            </w:r>
          </w:p>
        </w:tc>
        <w:tc>
          <w:tcPr>
            <w:tcW w:type="dxa" w:w="808"/>
          </w:tcPr>
          <w:p>
            <w:pPr>
              <w:spacing w:line="240" w:lineRule="auto" w:after="0"/>
            </w:pPr>
            <w:r>
              <w:rPr>
                <w:rFonts w:ascii="Times New Roman" w:hAnsi="Times New Roman"/>
                <w:b/>
                <w:i w:val="0"/>
                <w:sz w:val="20"/>
              </w:rPr>
              <w:t>0.864</w:t>
            </w:r>
          </w:p>
        </w:tc>
        <w:tc>
          <w:tcPr>
            <w:tcW w:type="dxa" w:w="808"/>
          </w:tcPr>
          <w:p>
            <w:pPr>
              <w:spacing w:line="240" w:lineRule="auto" w:after="0"/>
            </w:pPr>
            <w:r>
              <w:rPr>
                <w:rFonts w:ascii="Times New Roman" w:hAnsi="Times New Roman"/>
                <w:b w:val="0"/>
                <w:i w:val="0"/>
                <w:sz w:val="20"/>
              </w:rPr>
              <w:t>36.2 pp</w:t>
            </w:r>
          </w:p>
        </w:tc>
        <w:tc>
          <w:tcPr>
            <w:tcW w:type="dxa" w:w="808"/>
          </w:tcPr>
          <w:p>
            <w:pPr>
              <w:spacing w:line="240" w:lineRule="auto" w:after="0"/>
            </w:pPr>
            <w:r>
              <w:rPr>
                <w:rFonts w:ascii="Times New Roman" w:hAnsi="Times New Roman"/>
                <w:b w:val="0"/>
                <w:i w:val="0"/>
                <w:sz w:val="20"/>
              </w:rPr>
              <w:t>11 of 91</w:t>
            </w:r>
          </w:p>
        </w:tc>
        <w:tc>
          <w:tcPr>
            <w:tcW w:type="dxa" w:w="808"/>
          </w:tcPr>
          <w:p>
            <w:pPr>
              <w:spacing w:line="240" w:lineRule="auto" w:after="0"/>
            </w:pPr>
          </w:p>
        </w:tc>
        <w:tc>
          <w:tcPr>
            <w:tcW w:type="dxa" w:w="808"/>
          </w:tcPr>
          <w:p>
            <w:pPr>
              <w:spacing w:line="240" w:lineRule="auto" w:after="0"/>
            </w:pPr>
          </w:p>
        </w:tc>
      </w:tr>
      <w:tr>
        <w:tc>
          <w:tcPr>
            <w:tcW w:type="dxa" w:w="808"/>
          </w:tcPr>
          <w:p>
            <w:pPr>
              <w:spacing w:line="240" w:lineRule="auto" w:after="0"/>
            </w:pPr>
            <w:r>
              <w:rPr>
                <w:rFonts w:ascii="Times New Roman" w:hAnsi="Times New Roman"/>
                <w:b w:val="0"/>
                <w:i w:val="0"/>
                <w:sz w:val="20"/>
              </w:rPr>
              <w:t>VisDrone</w:t>
            </w:r>
          </w:p>
        </w:tc>
        <w:tc>
          <w:tcPr>
            <w:tcW w:type="dxa" w:w="808"/>
          </w:tcPr>
          <w:p>
            <w:pPr>
              <w:spacing w:line="240" w:lineRule="auto" w:after="0"/>
            </w:pPr>
            <w:r>
              <w:rPr>
                <w:rFonts w:ascii="Times New Roman" w:hAnsi="Times New Roman"/>
                <w:b w:val="0"/>
                <w:i w:val="0"/>
                <w:sz w:val="20"/>
              </w:rPr>
              <w:t>8</w:t>
            </w:r>
          </w:p>
        </w:tc>
        <w:tc>
          <w:tcPr>
            <w:tcW w:type="dxa" w:w="808"/>
          </w:tcPr>
          <w:p>
            <w:pPr>
              <w:spacing w:line="240" w:lineRule="auto" w:after="0"/>
            </w:pPr>
            <w:r>
              <w:rPr>
                <w:rFonts w:ascii="Times New Roman" w:hAnsi="Times New Roman"/>
                <w:b w:val="0"/>
                <w:i w:val="0"/>
                <w:sz w:val="20"/>
              </w:rPr>
              <w:t>277</w:t>
            </w:r>
          </w:p>
        </w:tc>
        <w:tc>
          <w:tcPr>
            <w:tcW w:type="dxa" w:w="808"/>
          </w:tcPr>
          <w:p>
            <w:pPr>
              <w:spacing w:line="240" w:lineRule="auto" w:after="0"/>
            </w:pPr>
            <w:r>
              <w:rPr>
                <w:rFonts w:ascii="Times New Roman" w:hAnsi="Times New Roman"/>
                <w:b/>
                <w:i w:val="0"/>
                <w:sz w:val="20"/>
              </w:rPr>
              <w:t>1.000</w:t>
            </w:r>
          </w:p>
        </w:tc>
        <w:tc>
          <w:tcPr>
            <w:tcW w:type="dxa" w:w="808"/>
          </w:tcPr>
          <w:p>
            <w:pPr>
              <w:spacing w:line="240" w:lineRule="auto" w:after="0"/>
            </w:pPr>
            <w:r>
              <w:rPr>
                <w:rFonts w:ascii="Times New Roman" w:hAnsi="Times New Roman"/>
                <w:b w:val="0"/>
                <w:i w:val="0"/>
                <w:sz w:val="20"/>
              </w:rPr>
              <w:t>9.4 pp</w:t>
            </w:r>
          </w:p>
        </w:tc>
        <w:tc>
          <w:tcPr>
            <w:tcW w:type="dxa" w:w="808"/>
          </w:tcPr>
          <w:p>
            <w:pPr>
              <w:spacing w:line="240" w:lineRule="auto" w:after="0"/>
            </w:pPr>
            <w:r>
              <w:rPr>
                <w:rFonts w:ascii="Times New Roman" w:hAnsi="Times New Roman"/>
                <w:b w:val="0"/>
                <w:i w:val="0"/>
                <w:sz w:val="20"/>
              </w:rPr>
              <w:t>0 of 28</w:t>
            </w:r>
          </w:p>
        </w:tc>
        <w:tc>
          <w:tcPr>
            <w:tcW w:type="dxa" w:w="808"/>
          </w:tcPr>
          <w:p>
            <w:pPr>
              <w:spacing w:line="240" w:lineRule="auto" w:after="0"/>
            </w:pPr>
          </w:p>
        </w:tc>
        <w:tc>
          <w:tcPr>
            <w:tcW w:type="dxa" w:w="808"/>
          </w:tcPr>
          <w:p>
            <w:pPr>
              <w:spacing w:line="240" w:lineRule="auto" w:after="0"/>
            </w:pPr>
          </w:p>
        </w:tc>
      </w:tr>
      <w:tr>
        <w:tc>
          <w:tcPr>
            <w:tcW w:type="dxa" w:w="808"/>
          </w:tcPr>
          <w:p>
            <w:pPr>
              <w:spacing w:line="240" w:lineRule="auto" w:after="0"/>
            </w:pPr>
            <w:r>
              <w:rPr>
                <w:rFonts w:ascii="Times New Roman" w:hAnsi="Times New Roman"/>
                <w:b w:val="0"/>
                <w:i w:val="0"/>
                <w:sz w:val="20"/>
              </w:rPr>
              <w:t>AI-TOD</w:t>
            </w:r>
          </w:p>
        </w:tc>
        <w:tc>
          <w:tcPr>
            <w:tcW w:type="dxa" w:w="808"/>
          </w:tcPr>
          <w:p>
            <w:pPr>
              <w:spacing w:line="240" w:lineRule="auto" w:after="0"/>
            </w:pPr>
            <w:r>
              <w:rPr>
                <w:rFonts w:ascii="Times New Roman" w:hAnsi="Times New Roman"/>
                <w:b w:val="0"/>
                <w:i w:val="0"/>
                <w:sz w:val="20"/>
              </w:rPr>
              <w:t>8</w:t>
            </w:r>
          </w:p>
        </w:tc>
        <w:tc>
          <w:tcPr>
            <w:tcW w:type="dxa" w:w="808"/>
          </w:tcPr>
          <w:p>
            <w:pPr>
              <w:spacing w:line="240" w:lineRule="auto" w:after="0"/>
            </w:pPr>
            <w:r>
              <w:rPr>
                <w:rFonts w:ascii="Times New Roman" w:hAnsi="Times New Roman"/>
                <w:b w:val="0"/>
                <w:i w:val="0"/>
                <w:sz w:val="20"/>
              </w:rPr>
              <w:t>222</w:t>
            </w:r>
          </w:p>
        </w:tc>
        <w:tc>
          <w:tcPr>
            <w:tcW w:type="dxa" w:w="808"/>
          </w:tcPr>
          <w:p>
            <w:pPr>
              <w:spacing w:line="240" w:lineRule="auto" w:after="0"/>
            </w:pPr>
            <w:r>
              <w:rPr>
                <w:rFonts w:ascii="Times New Roman" w:hAnsi="Times New Roman"/>
                <w:b/>
                <w:i w:val="0"/>
                <w:sz w:val="20"/>
              </w:rPr>
              <w:t>0.476</w:t>
            </w:r>
          </w:p>
        </w:tc>
        <w:tc>
          <w:tcPr>
            <w:tcW w:type="dxa" w:w="808"/>
          </w:tcPr>
          <w:p>
            <w:pPr>
              <w:spacing w:line="240" w:lineRule="auto" w:after="0"/>
            </w:pPr>
            <w:r>
              <w:rPr>
                <w:rFonts w:ascii="Times New Roman" w:hAnsi="Times New Roman"/>
                <w:b w:val="0"/>
                <w:i w:val="0"/>
                <w:sz w:val="20"/>
              </w:rPr>
              <w:t>37.5 pp</w:t>
            </w:r>
          </w:p>
        </w:tc>
        <w:tc>
          <w:tcPr>
            <w:tcW w:type="dxa" w:w="808"/>
          </w:tcPr>
          <w:p>
            <w:pPr>
              <w:spacing w:line="240" w:lineRule="auto" w:after="0"/>
            </w:pPr>
            <w:r>
              <w:rPr>
                <w:rFonts w:ascii="Times New Roman" w:hAnsi="Times New Roman"/>
                <w:b w:val="0"/>
                <w:i w:val="0"/>
                <w:sz w:val="20"/>
              </w:rPr>
              <w:t>9 of 28</w:t>
            </w:r>
          </w:p>
        </w:tc>
        <w:tc>
          <w:tcPr>
            <w:tcW w:type="dxa" w:w="808"/>
          </w:tcPr>
          <w:p>
            <w:pPr>
              <w:spacing w:line="240" w:lineRule="auto" w:after="0"/>
            </w:pPr>
          </w:p>
        </w:tc>
        <w:tc>
          <w:tcPr>
            <w:tcW w:type="dxa" w:w="808"/>
          </w:tcPr>
          <w:p>
            <w:pPr>
              <w:spacing w:line="240" w:lineRule="auto" w:after="0"/>
            </w:pPr>
          </w:p>
        </w:tc>
      </w:tr>
    </w:tbl>
    <w:p/>
    <w:p>
      <w:r>
        <w:rPr>
          <w:rFonts w:ascii="Times New Roman" w:hAnsi="Times New Roman"/>
          <w:b w:val="0"/>
          <w:i w:val="0"/>
          <w:sz w:val="20"/>
        </w:rPr>
        <w:t xml:space="preserve">A single configuration's measured bias therefore differs by up to </w:t>
      </w:r>
      <w:r>
        <w:rPr>
          <w:rFonts w:ascii="Times New Roman" w:hAnsi="Times New Roman"/>
          <w:b/>
          <w:i w:val="0"/>
          <w:sz w:val="20"/>
        </w:rPr>
        <w:t>48.2 pp</w:t>
      </w:r>
      <w:r>
        <w:rPr>
          <w:rFonts w:ascii="Times New Roman" w:hAnsi="Times New Roman"/>
          <w:b w:val="0"/>
          <w:i w:val="0"/>
          <w:sz w:val="20"/>
        </w:rPr>
        <w:t xml:space="preserve"> between the conventions, and in the dense domains </w:t>
      </w:r>
      <w:r>
        <w:rPr>
          <w:rFonts w:ascii="Times New Roman" w:hAnsi="Times New Roman"/>
          <w:b/>
          <w:i w:val="0"/>
          <w:sz w:val="20"/>
        </w:rPr>
        <w:t>28 of 182 rank pairs invert</w:t>
      </w:r>
      <w:r>
        <w:rPr>
          <w:rFonts w:ascii="Times New Roman" w:hAnsi="Times New Roman"/>
          <w:b w:val="0"/>
          <w:i w:val="0"/>
          <w:sz w:val="20"/>
        </w:rPr>
        <w:t xml:space="preserve"> (Spearman 0.604 and 0.864). The aerial domains split: VisDrone is convention-invariant (</w:t>
      </w:r>
      <w:r>
        <w:rPr>
          <w:rFonts w:ascii="Times New Roman" w:hAnsi="Times New Roman"/>
          <w:b/>
          <w:i w:val="0"/>
          <w:sz w:val="20"/>
        </w:rPr>
        <w:t>ρ = 1.000</w:t>
      </w:r>
      <w:r>
        <w:rPr>
          <w:rFonts w:ascii="Times New Roman" w:hAnsi="Times New Roman"/>
          <w:b w:val="0"/>
          <w:i w:val="0"/>
          <w:sz w:val="20"/>
        </w:rPr>
        <w:t>, no inversion) while AI-TOD is the most sensitive cell of all (</w:t>
      </w:r>
      <w:r>
        <w:rPr>
          <w:rFonts w:ascii="Times New Roman" w:hAnsi="Times New Roman"/>
          <w:b/>
          <w:i w:val="0"/>
          <w:sz w:val="20"/>
        </w:rPr>
        <w:t>0.476</w:t>
      </w:r>
      <w:r>
        <w:rPr>
          <w:rFonts w:ascii="Times New Roman" w:hAnsi="Times New Roman"/>
          <w:b w:val="0"/>
          <w:i w:val="0"/>
          <w:sz w:val="20"/>
        </w:rPr>
        <w:t xml:space="preserve">). A number quoted under one convention is thus not comparable with one quoted under the other — the operational reading of Proposition 8, and what the released protocol of §7.9 reports as a matter of course. </w:t>
      </w:r>
      <w:r>
        <w:rPr>
          <w:rFonts w:ascii="Times New Roman" w:hAnsi="Times New Roman"/>
          <w:b w:val="0"/>
          <w:i/>
          <w:sz w:val="20"/>
        </w:rPr>
        <w:t>(Reproduction: `convention_rank.py`; frozen result `convention_rank_result.json`.)</w:t>
      </w:r>
    </w:p>
    <w:p>
      <w:r>
        <w:rPr>
          <w:rFonts w:ascii="Times New Roman" w:hAnsi="Times New Roman"/>
          <w:b/>
          <w:i w:val="0"/>
          <w:sz w:val="20"/>
        </w:rPr>
        <w:t>What a decision costs depends on a second convention.</w:t>
      </w:r>
      <w:r>
        <w:rPr>
          <w:rFonts w:ascii="Times New Roman" w:hAnsi="Times New Roman"/>
          <w:b w:val="0"/>
          <w:i w:val="0"/>
          <w:sz w:val="20"/>
        </w:rPr>
        <w:t xml:space="preserve"> Three decision forms — a </w:t>
      </w:r>
      <w:r>
        <w:rPr>
          <w:rFonts w:ascii="Times New Roman" w:hAnsi="Times New Roman"/>
          <w:b/>
          <w:i w:val="0"/>
          <w:sz w:val="20"/>
        </w:rPr>
        <w:t>deliverability verdict</w:t>
      </w:r>
      <w:r>
        <w:rPr>
          <w:rFonts w:ascii="Times New Roman" w:hAnsi="Times New Roman"/>
          <w:b w:val="0"/>
          <w:i w:val="0"/>
          <w:sz w:val="20"/>
        </w:rPr>
        <w:t xml:space="preserve">, a </w:t>
      </w:r>
      <w:r>
        <w:rPr>
          <w:rFonts w:ascii="Times New Roman" w:hAnsi="Times New Roman"/>
          <w:b/>
          <w:i w:val="0"/>
          <w:sz w:val="20"/>
        </w:rPr>
        <w:t>service level</w:t>
      </w:r>
      <w:r>
        <w:rPr>
          <w:rFonts w:ascii="Times New Roman" w:hAnsi="Times New Roman"/>
          <w:b w:val="0"/>
          <w:i w:val="0"/>
          <w:sz w:val="20"/>
        </w:rPr>
        <w:t xml:space="preserve"> and a </w:t>
      </w:r>
      <w:r>
        <w:rPr>
          <w:rFonts w:ascii="Times New Roman" w:hAnsi="Times New Roman"/>
          <w:b/>
          <w:i w:val="0"/>
          <w:sz w:val="20"/>
        </w:rPr>
        <w:t>selection set</w:t>
      </w:r>
      <w:r>
        <w:rPr>
          <w:rFonts w:ascii="Times New Roman" w:hAnsi="Times New Roman"/>
          <w:b w:val="0"/>
          <w:i w:val="0"/>
          <w:sz w:val="20"/>
        </w:rPr>
        <w:t xml:space="preserve"> (the three best configurations per dataset) — over five datasets and a 3 × 3 grid of θ × tol are evaluated under both readings of "answered": as </w:t>
      </w:r>
      <w:r>
        <w:rPr>
          <w:rFonts w:ascii="Times New Roman" w:hAnsi="Times New Roman"/>
          <w:b w:val="0"/>
          <w:i/>
          <w:sz w:val="20"/>
        </w:rPr>
        <w:t>textual refusals only</w:t>
      </w:r>
      <w:r>
        <w:rPr>
          <w:rFonts w:ascii="Times New Roman" w:hAnsi="Times New Roman"/>
          <w:b w:val="0"/>
          <w:i w:val="0"/>
          <w:sz w:val="20"/>
        </w:rPr>
        <w:t xml:space="preserve">, </w:t>
      </w:r>
      <w:r>
        <w:rPr>
          <w:rFonts w:ascii="Times New Roman" w:hAnsi="Times New Roman"/>
          <w:b/>
          <w:i w:val="0"/>
          <w:sz w:val="20"/>
        </w:rPr>
        <w:t>three verdicts flip</w:t>
      </w:r>
      <w:r>
        <w:rPr>
          <w:rFonts w:ascii="Times New Roman" w:hAnsi="Times New Roman"/>
          <w:b w:val="0"/>
          <w:i w:val="0"/>
          <w:sz w:val="20"/>
        </w:rPr>
        <w:t xml:space="preserve"> and the selection sets are </w:t>
      </w:r>
      <w:r>
        <w:rPr>
          <w:rFonts w:ascii="Times New Roman" w:hAnsi="Times New Roman"/>
          <w:b/>
          <w:i w:val="0"/>
          <w:sz w:val="20"/>
        </w:rPr>
        <w:t>identical in five</w:t>
      </w:r>
      <w:r>
        <w:rPr>
          <w:rFonts w:ascii="Times New Roman" w:hAnsi="Times New Roman"/>
          <w:b w:val="0"/>
          <w:i w:val="0"/>
          <w:sz w:val="20"/>
        </w:rPr>
        <w:t xml:space="preserve">; as §M.27 defines them — a numerical </w:t>
      </w:r>
      <w:r>
        <w:rPr>
          <w:rFonts w:ascii="Times New Roman" w:hAnsi="Times New Roman"/>
          <w:b w:val="0"/>
          <w:i/>
          <w:sz w:val="20"/>
        </w:rPr>
        <w:t>0</w:t>
      </w:r>
      <w:r>
        <w:rPr>
          <w:rFonts w:ascii="Times New Roman" w:hAnsi="Times New Roman"/>
          <w:b w:val="0"/>
          <w:i w:val="0"/>
          <w:sz w:val="20"/>
        </w:rPr>
        <w:t xml:space="preserve"> is </w:t>
      </w:r>
      <w:r>
        <w:rPr>
          <w:rFonts w:ascii="Times New Roman" w:hAnsi="Times New Roman"/>
          <w:b w:val="0"/>
          <w:i/>
          <w:sz w:val="20"/>
        </w:rPr>
        <w:t>also</w:t>
      </w:r>
      <w:r>
        <w:rPr>
          <w:rFonts w:ascii="Times New Roman" w:hAnsi="Times New Roman"/>
          <w:b w:val="0"/>
          <w:i w:val="0"/>
          <w:sz w:val="20"/>
        </w:rPr>
        <w:t xml:space="preserve"> an abstention — </w:t>
      </w:r>
      <w:r>
        <w:rPr>
          <w:rFonts w:ascii="Times New Roman" w:hAnsi="Times New Roman"/>
          <w:b/>
          <w:i w:val="0"/>
          <w:sz w:val="20"/>
        </w:rPr>
        <w:t>78 verdicts flip</w:t>
      </w:r>
      <w:r>
        <w:rPr>
          <w:rFonts w:ascii="Times New Roman" w:hAnsi="Times New Roman"/>
          <w:b w:val="0"/>
          <w:i w:val="0"/>
          <w:sz w:val="20"/>
        </w:rPr>
        <w:t xml:space="preserve"> and the sets differ in </w:t>
      </w:r>
      <w:r>
        <w:rPr>
          <w:rFonts w:ascii="Times New Roman" w:hAnsi="Times New Roman"/>
          <w:b/>
          <w:i w:val="0"/>
          <w:sz w:val="20"/>
        </w:rPr>
        <w:t>4 of 5</w:t>
      </w:r>
      <w:r>
        <w:rPr>
          <w:rFonts w:ascii="Times New Roman" w:hAnsi="Times New Roman"/>
          <w:b w:val="0"/>
          <w:i w:val="0"/>
          <w:sz w:val="20"/>
        </w:rPr>
        <w:t xml:space="preserve">. Whether the convention is a comparability or a decision problem is convention-dependent; the decision-relevant quantity remains the abstention </w:t>
      </w:r>
      <w:r>
        <w:rPr>
          <w:rFonts w:ascii="Times New Roman" w:hAnsi="Times New Roman"/>
          <w:b w:val="0"/>
          <w:i/>
          <w:sz w:val="20"/>
        </w:rPr>
        <w:t>mass</w:t>
      </w:r>
      <w:r>
        <w:rPr>
          <w:rFonts w:ascii="Times New Roman" w:hAnsi="Times New Roman"/>
          <w:b w:val="0"/>
          <w:i w:val="0"/>
          <w:sz w:val="20"/>
        </w:rPr>
        <w:t xml:space="preserve"> (§5.11, M.27).</w:t>
      </w:r>
    </w:p>
    <w:p>
      <w:pPr>
        <w:pStyle w:val="Heading3"/>
      </w:pPr>
      <w:r>
        <w:rPr>
          <w:rFonts w:ascii="Times New Roman" w:hAnsi="Times New Roman"/>
          <w:b/>
          <w:i w:val="0"/>
          <w:sz w:val="20"/>
        </w:rPr>
        <w:t>5.13 The same two experiments on a public benchmark (FSC-147)</w:t>
      </w:r>
    </w:p>
    <w:p>
      <w:r>
        <w:rPr>
          <w:rFonts w:ascii="Times New Roman" w:hAnsi="Times New Roman"/>
          <w:b w:val="0"/>
          <w:i w:val="0"/>
          <w:sz w:val="20"/>
        </w:rPr>
        <w:t xml:space="preserve">Everything above uses nine corpora this paper assembled. To check that neither the zero nor the contract effect is a property of those datasets, we ran the </w:t>
      </w:r>
      <w:r>
        <w:rPr>
          <w:rFonts w:ascii="Times New Roman" w:hAnsi="Times New Roman"/>
          <w:b/>
          <w:i w:val="0"/>
          <w:sz w:val="20"/>
        </w:rPr>
        <w:t>same instrument</w:t>
      </w:r>
      <w:r>
        <w:rPr>
          <w:rFonts w:ascii="Times New Roman" w:hAnsi="Times New Roman"/>
          <w:b w:val="0"/>
          <w:i w:val="0"/>
          <w:sz w:val="20"/>
        </w:rPr>
        <w:t xml:space="preserve"> (the same probe, not a re-implementation) on </w:t>
      </w:r>
      <w:r>
        <w:rPr>
          <w:rFonts w:ascii="Times New Roman" w:hAnsi="Times New Roman"/>
          <w:b/>
          <w:i w:val="0"/>
          <w:sz w:val="20"/>
        </w:rPr>
        <w:t>FSC-147</w:t>
      </w:r>
      <w:r>
        <w:rPr>
          <w:rFonts w:ascii="Times New Roman" w:hAnsi="Times New Roman"/>
          <w:b w:val="0"/>
          <w:i w:val="0"/>
          <w:sz w:val="20"/>
        </w:rPr>
        <w:t xml:space="preserve"> [7] — a public counting benchmark of natural images with a different object vocabulary and density range — on a fixed-seed, GT-stratified sample of </w:t>
      </w:r>
      <w:r>
        <w:rPr>
          <w:rFonts w:ascii="Times New Roman" w:hAnsi="Times New Roman"/>
          <w:b/>
          <w:i w:val="0"/>
          <w:sz w:val="20"/>
        </w:rPr>
        <w:t>300 test images</w:t>
      </w:r>
      <w:r>
        <w:rPr>
          <w:rFonts w:ascii="Times New Roman" w:hAnsi="Times New Roman"/>
          <w:b w:val="0"/>
          <w:i w:val="0"/>
          <w:sz w:val="20"/>
        </w:rPr>
        <w:t xml:space="preserve">. This </w:t>
      </w:r>
      <w:r>
        <w:rPr>
          <w:rFonts w:ascii="Times New Roman" w:hAnsi="Times New Roman"/>
          <w:b w:val="0"/>
          <w:i/>
          <w:sz w:val="20"/>
        </w:rPr>
        <w:t>instrument-as-is</w:t>
      </w:r>
      <w:r>
        <w:rPr>
          <w:rFonts w:ascii="Times New Roman" w:hAnsi="Times New Roman"/>
          <w:b w:val="0"/>
          <w:i w:val="0"/>
          <w:sz w:val="20"/>
        </w:rPr>
        <w:t xml:space="preserve"> panel measures responses to a fixed people-counting prompt on FSC-147 images; since that target need not match the annotated category, these results give no FSC-147 counting accuracy and no implicit abstention, so the readings bound the contract effect and do not estimate it, and target-matched results need separate evaluation on those images. Appendices M.24.5-M.24.8 supply that same evaluation there in full.</w:t>
      </w:r>
    </w:p>
    <w:p>
      <w:r>
        <w:rPr>
          <w:rFonts w:ascii="Times New Roman" w:hAnsi="Times New Roman"/>
          <w:b/>
          <w:i w:val="0"/>
          <w:sz w:val="20"/>
        </w:rPr>
        <w:t>Table 6.</w:t>
      </w:r>
      <w:r>
        <w:rPr>
          <w:rFonts w:ascii="Times New Roman" w:hAnsi="Times New Roman"/>
          <w:b w:val="0"/>
          <w:i w:val="0"/>
          <w:sz w:val="20"/>
        </w:rPr>
        <w:t xml:space="preserve"> The contract gate on FSC-147 (</w:t>
      </w:r>
      <w:r>
        <w:rPr>
          <w:rFonts w:ascii="Times New Roman" w:hAnsi="Times New Roman"/>
          <w:b w:val="0"/>
          <w:i/>
          <w:sz w:val="20"/>
        </w:rPr>
        <w:t>instrument-as-is</w:t>
      </w:r>
      <w:r>
        <w:rPr>
          <w:rFonts w:ascii="Times New Roman" w:hAnsi="Times New Roman"/>
          <w:b w:val="0"/>
          <w:i w:val="0"/>
          <w:sz w:val="20"/>
        </w:rPr>
        <w:t>; five of the nine configurations in the panel; the full panel is Appendix M.24.1).</w:t>
      </w:r>
    </w:p>
    <w:tbl>
      <w:tblPr>
        <w:tblW w:type="auto" w:w="0"/>
        <w:tblLook w:firstColumn="1" w:firstRow="1" w:lastColumn="0" w:lastRow="0" w:noHBand="0" w:noVBand="1" w:val="04A0"/>
        <w:tblBorders>
          <w:top w:val="single" w:sz="4" w:color="000000"/>
          <w:bottom w:val="single" w:sz="4" w:color="000000"/>
          <w:insideH w:val="single" w:sz="4" w:color="000000"/>
          <w:left w:val="none" w:sz="0"/>
          <w:right w:val="none" w:sz="0"/>
          <w:insideV w:val="none" w:sz="0"/>
        </w:tblBorders>
      </w:tblPr>
      <w:tblGrid>
        <w:gridCol w:w="1616"/>
        <w:gridCol w:w="1616"/>
        <w:gridCol w:w="1616"/>
        <w:gridCol w:w="1616"/>
      </w:tblGrid>
      <w:tr>
        <w:tc>
          <w:tcPr>
            <w:tcW w:type="dxa" w:w="1616"/>
          </w:tcPr>
          <w:p>
            <w:pPr>
              <w:spacing w:line="240" w:lineRule="auto" w:after="0"/>
            </w:pPr>
            <w:r>
              <w:rPr>
                <w:rFonts w:ascii="Times New Roman" w:hAnsi="Times New Roman"/>
                <w:b/>
                <w:i w:val="0"/>
                <w:sz w:val="20"/>
              </w:rPr>
              <w:t>configuration</w:t>
            </w:r>
          </w:p>
        </w:tc>
        <w:tc>
          <w:tcPr>
            <w:tcW w:type="dxa" w:w="1616"/>
          </w:tcPr>
          <w:p>
            <w:pPr>
              <w:spacing w:line="240" w:lineRule="auto" w:after="0"/>
            </w:pPr>
            <w:r>
              <w:rPr>
                <w:rFonts w:ascii="Times New Roman" w:hAnsi="Times New Roman"/>
                <w:b/>
                <w:i w:val="0"/>
                <w:sz w:val="20"/>
              </w:rPr>
              <w:t>base answers 0</w:t>
            </w:r>
          </w:p>
        </w:tc>
        <w:tc>
          <w:tcPr>
            <w:tcW w:type="dxa" w:w="1616"/>
          </w:tcPr>
          <w:p>
            <w:pPr>
              <w:spacing w:line="240" w:lineRule="auto" w:after="0"/>
            </w:pPr>
            <w:r>
              <w:rPr>
                <w:rFonts w:ascii="Times New Roman" w:hAnsi="Times New Roman"/>
                <w:b/>
                <w:i w:val="0"/>
                <w:sz w:val="20"/>
              </w:rPr>
              <w:t xml:space="preserve">still 0 under </w:t>
            </w:r>
            <w:r>
              <w:rPr>
                <w:rFonts w:ascii="Times New Roman" w:hAnsi="Times New Roman"/>
                <w:b/>
                <w:i/>
                <w:sz w:val="20"/>
              </w:rPr>
              <w:t>permit</w:t>
            </w:r>
          </w:p>
        </w:tc>
        <w:tc>
          <w:tcPr>
            <w:tcW w:type="dxa" w:w="1616"/>
          </w:tcPr>
          <w:p>
            <w:pPr>
              <w:spacing w:line="240" w:lineRule="auto" w:after="0"/>
            </w:pPr>
            <w:r>
              <w:rPr>
                <w:rFonts w:ascii="Times New Roman" w:hAnsi="Times New Roman"/>
                <w:b/>
                <w:i w:val="0"/>
                <w:sz w:val="20"/>
              </w:rPr>
              <w:t>95% CI</w:t>
            </w:r>
          </w:p>
        </w:tc>
      </w:tr>
      <w:tr>
        <w:tc>
          <w:tcPr>
            <w:tcW w:type="dxa" w:w="1616"/>
          </w:tcPr>
          <w:p>
            <w:pPr>
              <w:spacing w:line="240" w:lineRule="auto" w:after="0"/>
            </w:pPr>
            <w:r>
              <w:rPr>
                <w:rFonts w:ascii="Times New Roman" w:hAnsi="Times New Roman"/>
                <w:b w:val="0"/>
                <w:i w:val="0"/>
                <w:sz w:val="20"/>
              </w:rPr>
              <w:t>Gemma-3-12B</w:t>
            </w:r>
          </w:p>
        </w:tc>
        <w:tc>
          <w:tcPr>
            <w:tcW w:type="dxa" w:w="1616"/>
          </w:tcPr>
          <w:p>
            <w:pPr>
              <w:spacing w:line="240" w:lineRule="auto" w:after="0"/>
            </w:pPr>
            <w:r>
              <w:rPr>
                <w:rFonts w:ascii="Times New Roman" w:hAnsi="Times New Roman"/>
                <w:b w:val="0"/>
                <w:i w:val="0"/>
                <w:sz w:val="20"/>
              </w:rPr>
              <w:t>248 / 300</w:t>
            </w:r>
          </w:p>
        </w:tc>
        <w:tc>
          <w:tcPr>
            <w:tcW w:type="dxa" w:w="1616"/>
          </w:tcPr>
          <w:p>
            <w:pPr>
              <w:spacing w:line="240" w:lineRule="auto" w:after="0"/>
            </w:pPr>
            <w:r>
              <w:rPr>
                <w:rFonts w:ascii="Times New Roman" w:hAnsi="Times New Roman"/>
                <w:b/>
                <w:i w:val="0"/>
                <w:sz w:val="20"/>
              </w:rPr>
              <w:t>0</w:t>
            </w:r>
            <w:r>
              <w:rPr>
                <w:rFonts w:ascii="Times New Roman" w:hAnsi="Times New Roman"/>
                <w:b w:val="0"/>
                <w:i w:val="0"/>
                <w:sz w:val="20"/>
              </w:rPr>
              <w:t xml:space="preserve"> (0.0%)</w:t>
            </w:r>
          </w:p>
        </w:tc>
        <w:tc>
          <w:tcPr>
            <w:tcW w:type="dxa" w:w="1616"/>
          </w:tcPr>
          <w:p>
            <w:pPr>
              <w:spacing w:line="240" w:lineRule="auto" w:after="0"/>
            </w:pPr>
            <w:r>
              <w:rPr>
                <w:rFonts w:ascii="Times New Roman" w:hAnsi="Times New Roman"/>
                <w:b w:val="0"/>
                <w:i w:val="0"/>
                <w:sz w:val="20"/>
              </w:rPr>
              <w:t>[0.0%, 1.5%]</w:t>
            </w:r>
          </w:p>
        </w:tc>
      </w:tr>
      <w:tr>
        <w:tc>
          <w:tcPr>
            <w:tcW w:type="dxa" w:w="1616"/>
          </w:tcPr>
          <w:p>
            <w:pPr>
              <w:spacing w:line="240" w:lineRule="auto" w:after="0"/>
            </w:pPr>
            <w:r>
              <w:rPr>
                <w:rFonts w:ascii="Times New Roman" w:hAnsi="Times New Roman"/>
                <w:b w:val="0"/>
                <w:i w:val="0"/>
                <w:sz w:val="20"/>
              </w:rPr>
              <w:t>InternVL3.5-8B</w:t>
            </w:r>
          </w:p>
        </w:tc>
        <w:tc>
          <w:tcPr>
            <w:tcW w:type="dxa" w:w="1616"/>
          </w:tcPr>
          <w:p>
            <w:pPr>
              <w:spacing w:line="240" w:lineRule="auto" w:after="0"/>
            </w:pPr>
            <w:r>
              <w:rPr>
                <w:rFonts w:ascii="Times New Roman" w:hAnsi="Times New Roman"/>
                <w:b w:val="0"/>
                <w:i w:val="0"/>
                <w:sz w:val="20"/>
              </w:rPr>
              <w:t>273 / 300</w:t>
            </w:r>
          </w:p>
        </w:tc>
        <w:tc>
          <w:tcPr>
            <w:tcW w:type="dxa" w:w="1616"/>
          </w:tcPr>
          <w:p>
            <w:pPr>
              <w:spacing w:line="240" w:lineRule="auto" w:after="0"/>
            </w:pPr>
            <w:r>
              <w:rPr>
                <w:rFonts w:ascii="Times New Roman" w:hAnsi="Times New Roman"/>
                <w:b/>
                <w:i w:val="0"/>
                <w:sz w:val="20"/>
              </w:rPr>
              <w:t>0</w:t>
            </w:r>
            <w:r>
              <w:rPr>
                <w:rFonts w:ascii="Times New Roman" w:hAnsi="Times New Roman"/>
                <w:b w:val="0"/>
                <w:i w:val="0"/>
                <w:sz w:val="20"/>
              </w:rPr>
              <w:t xml:space="preserve"> (0.0%)</w:t>
            </w:r>
          </w:p>
        </w:tc>
        <w:tc>
          <w:tcPr>
            <w:tcW w:type="dxa" w:w="1616"/>
          </w:tcPr>
          <w:p>
            <w:pPr>
              <w:spacing w:line="240" w:lineRule="auto" w:after="0"/>
            </w:pPr>
            <w:r>
              <w:rPr>
                <w:rFonts w:ascii="Times New Roman" w:hAnsi="Times New Roman"/>
                <w:b w:val="0"/>
                <w:i w:val="0"/>
                <w:sz w:val="20"/>
              </w:rPr>
              <w:t>[0.0%, 1.4%]</w:t>
            </w:r>
          </w:p>
        </w:tc>
      </w:tr>
      <w:tr>
        <w:tc>
          <w:tcPr>
            <w:tcW w:type="dxa" w:w="1616"/>
          </w:tcPr>
          <w:p>
            <w:pPr>
              <w:spacing w:line="240" w:lineRule="auto" w:after="0"/>
            </w:pPr>
            <w:r>
              <w:rPr>
                <w:rFonts w:ascii="Times New Roman" w:hAnsi="Times New Roman"/>
                <w:b w:val="0"/>
                <w:i w:val="0"/>
                <w:sz w:val="20"/>
              </w:rPr>
              <w:t>Phi-3.5-Vision-4.2B</w:t>
            </w:r>
          </w:p>
        </w:tc>
        <w:tc>
          <w:tcPr>
            <w:tcW w:type="dxa" w:w="1616"/>
          </w:tcPr>
          <w:p>
            <w:pPr>
              <w:spacing w:line="240" w:lineRule="auto" w:after="0"/>
            </w:pPr>
            <w:r>
              <w:rPr>
                <w:rFonts w:ascii="Times New Roman" w:hAnsi="Times New Roman"/>
                <w:b w:val="0"/>
                <w:i w:val="0"/>
                <w:sz w:val="20"/>
              </w:rPr>
              <w:t>255 / 300</w:t>
            </w:r>
          </w:p>
        </w:tc>
        <w:tc>
          <w:tcPr>
            <w:tcW w:type="dxa" w:w="1616"/>
          </w:tcPr>
          <w:p>
            <w:pPr>
              <w:spacing w:line="240" w:lineRule="auto" w:after="0"/>
            </w:pPr>
            <w:r>
              <w:rPr>
                <w:rFonts w:ascii="Times New Roman" w:hAnsi="Times New Roman"/>
                <w:b/>
                <w:i w:val="0"/>
                <w:sz w:val="20"/>
              </w:rPr>
              <w:t>2</w:t>
            </w:r>
            <w:r>
              <w:rPr>
                <w:rFonts w:ascii="Times New Roman" w:hAnsi="Times New Roman"/>
                <w:b w:val="0"/>
                <w:i w:val="0"/>
                <w:sz w:val="20"/>
              </w:rPr>
              <w:t xml:space="preserve"> (0.8%)</w:t>
            </w:r>
          </w:p>
        </w:tc>
        <w:tc>
          <w:tcPr>
            <w:tcW w:type="dxa" w:w="1616"/>
          </w:tcPr>
          <w:p>
            <w:pPr>
              <w:spacing w:line="240" w:lineRule="auto" w:after="0"/>
            </w:pPr>
            <w:r>
              <w:rPr>
                <w:rFonts w:ascii="Times New Roman" w:hAnsi="Times New Roman"/>
                <w:b w:val="0"/>
                <w:i w:val="0"/>
                <w:sz w:val="20"/>
              </w:rPr>
              <w:t>[0.2%, 2.8%]</w:t>
            </w:r>
          </w:p>
        </w:tc>
      </w:tr>
      <w:tr>
        <w:tc>
          <w:tcPr>
            <w:tcW w:type="dxa" w:w="1616"/>
          </w:tcPr>
          <w:p>
            <w:pPr>
              <w:spacing w:line="240" w:lineRule="auto" w:after="0"/>
            </w:pPr>
            <w:r>
              <w:rPr>
                <w:rFonts w:ascii="Times New Roman" w:hAnsi="Times New Roman"/>
                <w:b w:val="0"/>
                <w:i w:val="0"/>
                <w:sz w:val="20"/>
              </w:rPr>
              <w:t>LLaVA-OneVision-7B</w:t>
            </w:r>
          </w:p>
        </w:tc>
        <w:tc>
          <w:tcPr>
            <w:tcW w:type="dxa" w:w="1616"/>
          </w:tcPr>
          <w:p>
            <w:pPr>
              <w:spacing w:line="240" w:lineRule="auto" w:after="0"/>
            </w:pPr>
            <w:r>
              <w:rPr>
                <w:rFonts w:ascii="Times New Roman" w:hAnsi="Times New Roman"/>
                <w:b w:val="0"/>
                <w:i w:val="0"/>
                <w:sz w:val="20"/>
              </w:rPr>
              <w:t>187 / 300</w:t>
            </w:r>
          </w:p>
        </w:tc>
        <w:tc>
          <w:tcPr>
            <w:tcW w:type="dxa" w:w="1616"/>
          </w:tcPr>
          <w:p>
            <w:pPr>
              <w:spacing w:line="240" w:lineRule="auto" w:after="0"/>
            </w:pPr>
            <w:r>
              <w:rPr>
                <w:rFonts w:ascii="Times New Roman" w:hAnsi="Times New Roman"/>
                <w:b/>
                <w:i w:val="0"/>
                <w:sz w:val="20"/>
              </w:rPr>
              <w:t>0</w:t>
            </w:r>
            <w:r>
              <w:rPr>
                <w:rFonts w:ascii="Times New Roman" w:hAnsi="Times New Roman"/>
                <w:b w:val="0"/>
                <w:i w:val="0"/>
                <w:sz w:val="20"/>
              </w:rPr>
              <w:t xml:space="preserve"> (0.0%)</w:t>
            </w:r>
          </w:p>
        </w:tc>
        <w:tc>
          <w:tcPr>
            <w:tcW w:type="dxa" w:w="1616"/>
          </w:tcPr>
          <w:p>
            <w:pPr>
              <w:spacing w:line="240" w:lineRule="auto" w:after="0"/>
            </w:pPr>
            <w:r>
              <w:rPr>
                <w:rFonts w:ascii="Times New Roman" w:hAnsi="Times New Roman"/>
                <w:b w:val="0"/>
                <w:i w:val="0"/>
                <w:sz w:val="20"/>
              </w:rPr>
              <w:t>[0.0%, 2.0%]</w:t>
            </w:r>
          </w:p>
        </w:tc>
      </w:tr>
      <w:tr>
        <w:tc>
          <w:tcPr>
            <w:tcW w:type="dxa" w:w="1616"/>
          </w:tcPr>
          <w:p>
            <w:pPr>
              <w:spacing w:line="240" w:lineRule="auto" w:after="0"/>
            </w:pPr>
            <w:r>
              <w:rPr>
                <w:rFonts w:ascii="Times New Roman" w:hAnsi="Times New Roman"/>
                <w:b w:val="0"/>
                <w:i w:val="0"/>
                <w:sz w:val="20"/>
              </w:rPr>
              <w:t>Qwen3-VL-32B (BF16)</w:t>
            </w:r>
          </w:p>
        </w:tc>
        <w:tc>
          <w:tcPr>
            <w:tcW w:type="dxa" w:w="1616"/>
          </w:tcPr>
          <w:p>
            <w:pPr>
              <w:spacing w:line="240" w:lineRule="auto" w:after="0"/>
            </w:pPr>
            <w:r>
              <w:rPr>
                <w:rFonts w:ascii="Times New Roman" w:hAnsi="Times New Roman"/>
                <w:b w:val="0"/>
                <w:i w:val="0"/>
                <w:sz w:val="20"/>
              </w:rPr>
              <w:t>277 / 300</w:t>
            </w:r>
          </w:p>
        </w:tc>
        <w:tc>
          <w:tcPr>
            <w:tcW w:type="dxa" w:w="1616"/>
          </w:tcPr>
          <w:p>
            <w:pPr>
              <w:spacing w:line="240" w:lineRule="auto" w:after="0"/>
            </w:pPr>
            <w:r>
              <w:rPr>
                <w:rFonts w:ascii="Times New Roman" w:hAnsi="Times New Roman"/>
                <w:b/>
                <w:i w:val="0"/>
                <w:sz w:val="20"/>
              </w:rPr>
              <w:t>251</w:t>
            </w:r>
            <w:r>
              <w:rPr>
                <w:rFonts w:ascii="Times New Roman" w:hAnsi="Times New Roman"/>
                <w:b w:val="0"/>
                <w:i w:val="0"/>
                <w:sz w:val="20"/>
              </w:rPr>
              <w:t xml:space="preserve"> (90.6%)</w:t>
            </w:r>
          </w:p>
        </w:tc>
        <w:tc>
          <w:tcPr>
            <w:tcW w:type="dxa" w:w="1616"/>
          </w:tcPr>
          <w:p>
            <w:pPr>
              <w:spacing w:line="240" w:lineRule="auto" w:after="0"/>
            </w:pPr>
            <w:r>
              <w:rPr>
                <w:rFonts w:ascii="Times New Roman" w:hAnsi="Times New Roman"/>
                <w:b w:val="0"/>
                <w:i w:val="0"/>
                <w:sz w:val="20"/>
              </w:rPr>
              <w:t>[86.6%, 93.5%]</w:t>
            </w:r>
          </w:p>
        </w:tc>
      </w:tr>
    </w:tbl>
    <w:p/>
    <w:p>
      <w:r>
        <w:rPr>
          <w:rFonts w:ascii="Times New Roman" w:hAnsi="Times New Roman"/>
          <w:b w:val="0"/>
          <w:i w:val="0"/>
          <w:sz w:val="20"/>
        </w:rPr>
        <w:t xml:space="preserve">Three readings, one a counterexample, reported as one. </w:t>
      </w:r>
      <w:r>
        <w:rPr>
          <w:rFonts w:ascii="Times New Roman" w:hAnsi="Times New Roman"/>
          <w:b/>
          <w:i w:val="0"/>
          <w:sz w:val="20"/>
        </w:rPr>
        <w:t>(i) The zero is not a property of our corpora</w:t>
      </w:r>
      <w:r>
        <w:rPr>
          <w:rFonts w:ascii="Times New Roman" w:hAnsi="Times New Roman"/>
          <w:b w:val="0"/>
          <w:i w:val="0"/>
          <w:sz w:val="20"/>
        </w:rPr>
        <w:t xml:space="preserve">: four of five families answer exactly </w:t>
      </w:r>
      <w:r>
        <w:rPr>
          <w:rFonts w:ascii="Times New Roman" w:hAnsi="Times New Roman"/>
          <w:b w:val="0"/>
          <w:i/>
          <w:sz w:val="20"/>
        </w:rPr>
        <w:t>0</w:t>
      </w:r>
      <w:r>
        <w:rPr>
          <w:rFonts w:ascii="Times New Roman" w:hAnsi="Times New Roman"/>
          <w:b w:val="0"/>
          <w:i w:val="0"/>
          <w:sz w:val="20"/>
        </w:rPr>
        <w:t xml:space="preserve"> on </w:t>
      </w:r>
      <w:r>
        <w:rPr>
          <w:rFonts w:ascii="Times New Roman" w:hAnsi="Times New Roman"/>
          <w:b/>
          <w:i w:val="0"/>
          <w:sz w:val="20"/>
        </w:rPr>
        <w:t>62–91%</w:t>
      </w:r>
      <w:r>
        <w:rPr>
          <w:rFonts w:ascii="Times New Roman" w:hAnsi="Times New Roman"/>
          <w:b w:val="0"/>
          <w:i w:val="0"/>
          <w:sz w:val="20"/>
        </w:rPr>
        <w:t xml:space="preserve"> of a public benchmark's images, so the phenomenon is not an artefact of the nine datasets. </w:t>
      </w:r>
      <w:r>
        <w:rPr>
          <w:rFonts w:ascii="Times New Roman" w:hAnsi="Times New Roman"/>
          <w:b/>
          <w:i w:val="0"/>
          <w:sz w:val="20"/>
        </w:rPr>
        <w:t>(ii) The gate replicates in eight of nine configurations (≤6%), seven at the frozen ≤5%.</w:t>
      </w:r>
      <w:r>
        <w:rPr>
          <w:rFonts w:ascii="Times New Roman" w:hAnsi="Times New Roman"/>
          <w:b w:val="0"/>
          <w:i w:val="0"/>
          <w:sz w:val="20"/>
        </w:rPr>
        <w:t xml:space="preserve"> Across the panel (Appendix M.24.1) </w:t>
      </w:r>
      <w:r>
        <w:rPr>
          <w:rFonts w:ascii="Times New Roman" w:hAnsi="Times New Roman"/>
          <w:b w:val="0"/>
          <w:i/>
          <w:sz w:val="20"/>
        </w:rPr>
        <w:t>permit</w:t>
      </w:r>
      <w:r>
        <w:rPr>
          <w:rFonts w:ascii="Times New Roman" w:hAnsi="Times New Roman"/>
          <w:b w:val="0"/>
          <w:i w:val="0"/>
          <w:sz w:val="20"/>
        </w:rPr>
        <w:t xml:space="preserve"> leaves ≤ 6% of those zeros in </w:t>
      </w:r>
      <w:r>
        <w:rPr>
          <w:rFonts w:ascii="Times New Roman" w:hAnsi="Times New Roman"/>
          <w:b/>
          <w:i w:val="0"/>
          <w:sz w:val="20"/>
        </w:rPr>
        <w:t>eight</w:t>
      </w:r>
      <w:r>
        <w:rPr>
          <w:rFonts w:ascii="Times New Roman" w:hAnsi="Times New Roman"/>
          <w:b w:val="0"/>
          <w:i w:val="0"/>
          <w:sz w:val="20"/>
        </w:rPr>
        <w:t xml:space="preserve">; the exception is the </w:t>
      </w:r>
      <w:r>
        <w:rPr>
          <w:rFonts w:ascii="Times New Roman" w:hAnsi="Times New Roman"/>
          <w:b/>
          <w:i w:val="0"/>
          <w:sz w:val="20"/>
        </w:rPr>
        <w:t>Qwen3-VL-32B build, keeping 251 of 277</w:t>
      </w:r>
      <w:r>
        <w:rPr>
          <w:rFonts w:ascii="Times New Roman" w:hAnsi="Times New Roman"/>
          <w:b w:val="0"/>
          <w:i w:val="0"/>
          <w:sz w:val="20"/>
        </w:rPr>
        <w:t xml:space="preserve"> while the </w:t>
      </w:r>
      <w:r>
        <w:rPr>
          <w:rFonts w:ascii="Times New Roman" w:hAnsi="Times New Roman"/>
          <w:b w:val="0"/>
          <w:i/>
          <w:sz w:val="20"/>
        </w:rPr>
        <w:t>same</w:t>
      </w:r>
      <w:r>
        <w:rPr>
          <w:rFonts w:ascii="Times New Roman" w:hAnsi="Times New Roman"/>
          <w:b w:val="0"/>
          <w:i w:val="0"/>
          <w:sz w:val="20"/>
        </w:rPr>
        <w:t xml:space="preserve"> build on ShanghaiTech-A leaves </w:t>
      </w:r>
      <w:r>
        <w:rPr>
          <w:rFonts w:ascii="Times New Roman" w:hAnsi="Times New Roman"/>
          <w:b/>
          <w:i w:val="0"/>
          <w:sz w:val="20"/>
        </w:rPr>
        <w:t>0 of 62</w:t>
      </w:r>
      <w:r>
        <w:rPr>
          <w:rFonts w:ascii="Times New Roman" w:hAnsi="Times New Roman"/>
          <w:b w:val="0"/>
          <w:i w:val="0"/>
          <w:sz w:val="20"/>
        </w:rPr>
        <w:t xml:space="preserve"> (§M.19.8). Its diagnosis is informative: under the three-option </w:t>
      </w:r>
      <w:r>
        <w:rPr>
          <w:rFonts w:ascii="Times New Roman" w:hAnsi="Times New Roman"/>
          <w:b w:val="0"/>
          <w:i/>
          <w:sz w:val="20"/>
        </w:rPr>
        <w:t>channel</w:t>
      </w:r>
      <w:r>
        <w:rPr>
          <w:rFonts w:ascii="Times New Roman" w:hAnsi="Times New Roman"/>
          <w:b w:val="0"/>
          <w:i w:val="0"/>
          <w:sz w:val="20"/>
        </w:rPr>
        <w:t xml:space="preserve"> contract that build leaves </w:t>
      </w:r>
      <w:r>
        <w:rPr>
          <w:rFonts w:ascii="Times New Roman" w:hAnsi="Times New Roman"/>
          <w:b/>
          <w:i w:val="0"/>
          <w:sz w:val="20"/>
        </w:rPr>
        <w:t>0</w:t>
      </w:r>
      <w:r>
        <w:rPr>
          <w:rFonts w:ascii="Times New Roman" w:hAnsi="Times New Roman"/>
          <w:b w:val="0"/>
          <w:i w:val="0"/>
          <w:sz w:val="20"/>
        </w:rPr>
        <w:t xml:space="preserve"> zeros — for it the outlet must be </w:t>
      </w:r>
      <w:r>
        <w:rPr>
          <w:rFonts w:ascii="Times New Roman" w:hAnsi="Times New Roman"/>
          <w:b/>
          <w:i w:val="0"/>
          <w:sz w:val="20"/>
        </w:rPr>
        <w:t>enumerated as an option</w:t>
      </w:r>
      <w:r>
        <w:rPr>
          <w:rFonts w:ascii="Times New Roman" w:hAnsi="Times New Roman"/>
          <w:b w:val="0"/>
          <w:i w:val="0"/>
          <w:sz w:val="20"/>
        </w:rPr>
        <w:t xml:space="preserve">, not </w:t>
      </w:r>
      <w:r>
        <w:rPr>
          <w:rFonts w:ascii="Times New Roman" w:hAnsi="Times New Roman"/>
          <w:b w:val="0"/>
          <w:i/>
          <w:sz w:val="20"/>
        </w:rPr>
        <w:t>permitted</w:t>
      </w:r>
      <w:r>
        <w:rPr>
          <w:rFonts w:ascii="Times New Roman" w:hAnsi="Times New Roman"/>
          <w:b w:val="0"/>
          <w:i w:val="0"/>
          <w:sz w:val="20"/>
        </w:rPr>
        <w:t xml:space="preserve"> (Appendix M.24.3). The gate is therefore </w:t>
      </w:r>
      <w:r>
        <w:rPr>
          <w:rFonts w:ascii="Times New Roman" w:hAnsi="Times New Roman"/>
          <w:b/>
          <w:i w:val="0"/>
          <w:sz w:val="20"/>
        </w:rPr>
        <w:t>family × domain × wording conditional, not universal</w:t>
      </w:r>
      <w:r>
        <w:rPr>
          <w:rFonts w:ascii="Times New Roman" w:hAnsi="Times New Roman"/>
          <w:b w:val="0"/>
          <w:i w:val="0"/>
          <w:sz w:val="20"/>
        </w:rPr>
        <w:t xml:space="preserve">, and we state that explicitly, not as a dense-only caveat. </w:t>
      </w:r>
      <w:r>
        <w:rPr>
          <w:rFonts w:ascii="Times New Roman" w:hAnsi="Times New Roman"/>
          <w:b/>
          <w:i w:val="0"/>
          <w:sz w:val="20"/>
        </w:rPr>
        <w:t>(iii) Here the convention moves magnitudes, not the ρ ordering</w:t>
      </w:r>
      <w:r>
        <w:rPr>
          <w:rFonts w:ascii="Times New Roman" w:hAnsi="Times New Roman"/>
          <w:b w:val="0"/>
          <w:i w:val="0"/>
          <w:sz w:val="20"/>
        </w:rPr>
        <w:t xml:space="preserve"> (ρ by up to </w:t>
      </w:r>
      <w:r>
        <w:rPr>
          <w:rFonts w:ascii="Times New Roman" w:hAnsi="Times New Roman"/>
          <w:b/>
          <w:i w:val="0"/>
          <w:sz w:val="20"/>
        </w:rPr>
        <w:t>44.0 pp</w:t>
      </w:r>
      <w:r>
        <w:rPr>
          <w:rFonts w:ascii="Times New Roman" w:hAnsi="Times New Roman"/>
          <w:b w:val="0"/>
          <w:i w:val="0"/>
          <w:sz w:val="20"/>
        </w:rPr>
        <w:t xml:space="preserve">; Spearman </w:t>
      </w:r>
      <w:r>
        <w:rPr>
          <w:rFonts w:ascii="Times New Roman" w:hAnsi="Times New Roman"/>
          <w:b/>
          <w:i w:val="0"/>
          <w:sz w:val="20"/>
        </w:rPr>
        <w:t>0.983 on the ρ ordering</w:t>
      </w:r>
      <w:r>
        <w:rPr>
          <w:rFonts w:ascii="Times New Roman" w:hAnsi="Times New Roman"/>
          <w:b w:val="0"/>
          <w:i w:val="0"/>
          <w:sz w:val="20"/>
        </w:rPr>
        <w:t>, 1 inversion of 36) — the asymmetry §5.12 reports for the decision forms. Its sensitivity to the input scale is bounded in Appendix M.41. The two rank correlations behind this paragraph rest on the answered subset of 300 sampled images, 17–52 images per configuration (Appendix M.24.2); neither carries an interval.</w:t>
      </w:r>
    </w:p>
    <w:p>
      <w:pPr>
        <w:pStyle w:val="Heading3"/>
      </w:pPr>
      <w:r>
        <w:rPr>
          <w:rFonts w:ascii="Times New Roman" w:hAnsi="Times New Roman"/>
          <w:b/>
          <w:i w:val="0"/>
          <w:sz w:val="20"/>
        </w:rPr>
        <w:t>5.14 A prospective test on an independently sampled panel</w:t>
      </w:r>
    </w:p>
    <w:p>
      <w:r>
        <w:rPr>
          <w:rFonts w:ascii="Times New Roman" w:hAnsi="Times New Roman"/>
          <w:b w:val="0"/>
          <w:i w:val="0"/>
          <w:sz w:val="20"/>
        </w:rPr>
        <w:t xml:space="preserve">Every family above was chosen by us. To test whether the two effects survive a panel the paper did not choose, we </w:t>
      </w:r>
      <w:r>
        <w:rPr>
          <w:rFonts w:ascii="Times New Roman" w:hAnsi="Times New Roman"/>
          <w:b/>
          <w:i w:val="0"/>
          <w:sz w:val="20"/>
        </w:rPr>
        <w:t>froze six predictions, their thresholds and the sampling rule before collecting data</w:t>
      </w:r>
      <w:r>
        <w:rPr>
          <w:rFonts w:ascii="Times New Roman" w:hAnsi="Times New Roman"/>
          <w:b w:val="0"/>
          <w:i w:val="0"/>
          <w:sz w:val="20"/>
        </w:rPr>
        <w:t xml:space="preserve"> (preregistration </w:t>
      </w:r>
      <w:r>
        <w:rPr>
          <w:rFonts w:ascii="Times New Roman" w:hAnsi="Times New Roman"/>
          <w:b w:val="0"/>
          <w:i/>
          <w:sz w:val="20"/>
        </w:rPr>
        <w:t>0a42e6e5bbfa89543ba9fc1522f1b075</w:t>
      </w:r>
      <w:r>
        <w:rPr>
          <w:rFonts w:ascii="Times New Roman" w:hAnsi="Times New Roman"/>
          <w:b w:val="0"/>
          <w:i w:val="0"/>
          <w:sz w:val="20"/>
        </w:rPr>
        <w:t xml:space="preserve">, re-issued, traces removed; values unchanged; rule and frame in Appendix M.31). The rule takes one open-weight family per lineage, excludes every family used above, and yielded </w:t>
      </w:r>
      <w:r>
        <w:rPr>
          <w:rFonts w:ascii="Times New Roman" w:hAnsi="Times New Roman"/>
          <w:b/>
          <w:i w:val="0"/>
          <w:sz w:val="20"/>
        </w:rPr>
        <w:t>six families in six lineages with no Qwen model</w:t>
      </w:r>
      <w:r>
        <w:rPr>
          <w:rFonts w:ascii="Times New Roman" w:hAnsi="Times New Roman"/>
          <w:b w:val="0"/>
          <w:i w:val="0"/>
          <w:sz w:val="20"/>
        </w:rPr>
        <w:t>, five of those lineages appearing nowhere in §3–§5. The pools are the census-defined ones, which do not depend on the new models, and the instrument is the frozen probe, byte-identical in prompts and parser to the census probe.</w:t>
      </w:r>
    </w:p>
    <w:p>
      <w:r>
        <w:rPr>
          <w:rFonts w:ascii="Times New Roman" w:hAnsi="Times New Roman"/>
          <w:b/>
          <w:i w:val="0"/>
          <w:sz w:val="20"/>
        </w:rPr>
        <w:t>The gate replicates in the dense domains; the zero rate is a property of the domain, not the family; the contract knob’s ordering margin passes its first conjunct only.</w:t>
      </w:r>
      <w:r>
        <w:rPr>
          <w:rFonts w:ascii="Times New Roman" w:hAnsi="Times New Roman"/>
          <w:b w:val="0"/>
          <w:i w:val="0"/>
          <w:sz w:val="20"/>
        </w:rPr>
        <w:t xml:space="preserve"> Under </w:t>
      </w:r>
      <w:r>
        <w:rPr>
          <w:rFonts w:ascii="Times New Roman" w:hAnsi="Times New Roman"/>
          <w:b w:val="0"/>
          <w:i/>
          <w:sz w:val="20"/>
        </w:rPr>
        <w:t>permit</w:t>
      </w:r>
      <w:r>
        <w:rPr>
          <w:rFonts w:ascii="Times New Roman" w:hAnsi="Times New Roman"/>
          <w:b w:val="0"/>
          <w:i w:val="0"/>
          <w:sz w:val="20"/>
        </w:rPr>
        <w:t xml:space="preserve"> the answered zero falls to </w:t>
      </w:r>
      <w:r>
        <w:rPr>
          <w:rFonts w:ascii="Times New Roman" w:hAnsi="Times New Roman"/>
          <w:b/>
          <w:i w:val="0"/>
          <w:sz w:val="20"/>
        </w:rPr>
        <w:t>0.0%</w:t>
      </w:r>
      <w:r>
        <w:rPr>
          <w:rFonts w:ascii="Times New Roman" w:hAnsi="Times New Roman"/>
          <w:b w:val="0"/>
          <w:i w:val="0"/>
          <w:sz w:val="20"/>
        </w:rPr>
        <w:t xml:space="preserve"> in both dense domains for all five families that honour the JSON contract; pooled over four domains </w:t>
      </w:r>
      <w:r>
        <w:rPr>
          <w:rFonts w:ascii="Times New Roman" w:hAnsi="Times New Roman"/>
          <w:b/>
          <w:i w:val="0"/>
          <w:sz w:val="20"/>
        </w:rPr>
        <w:t>four of six</w:t>
      </w:r>
      <w:r>
        <w:rPr>
          <w:rFonts w:ascii="Times New Roman" w:hAnsi="Times New Roman"/>
          <w:b w:val="0"/>
          <w:i w:val="0"/>
          <w:sz w:val="20"/>
        </w:rPr>
        <w:t xml:space="preserve"> families reach ≤2% (0.00%, 0.00%, 0.00%, 0.18%). The two exceptions are diagnostic, not fatal: Idefics3-8B leaves </w:t>
      </w:r>
      <w:r>
        <w:rPr>
          <w:rFonts w:ascii="Times New Roman" w:hAnsi="Times New Roman"/>
          <w:b/>
          <w:i w:val="0"/>
          <w:sz w:val="20"/>
        </w:rPr>
        <w:t>7.23%</w:t>
      </w:r>
      <w:r>
        <w:rPr>
          <w:rFonts w:ascii="Times New Roman" w:hAnsi="Times New Roman"/>
          <w:b w:val="0"/>
          <w:i w:val="0"/>
          <w:sz w:val="20"/>
        </w:rPr>
        <w:t xml:space="preserve"> on sparse aerial items whose ground truth is one to three objects — a missed tiny target, not a refused outlet — and deepseek-vl2-tiny leaves </w:t>
      </w:r>
      <w:r>
        <w:rPr>
          <w:rFonts w:ascii="Times New Roman" w:hAnsi="Times New Roman"/>
          <w:b/>
          <w:i w:val="0"/>
          <w:sz w:val="20"/>
        </w:rPr>
        <w:t>48.28%</w:t>
      </w:r>
      <w:r>
        <w:rPr>
          <w:rFonts w:ascii="Times New Roman" w:hAnsi="Times New Roman"/>
          <w:b w:val="0"/>
          <w:i w:val="0"/>
          <w:sz w:val="20"/>
        </w:rPr>
        <w:t xml:space="preserve">, never abstaining in the aerial domains while its dense-domain output is 99% unparsable, a format failure and a family × domain outlet failure at once. The contract knob moves the zero rate by at least 10 pp more than the resolution knob in </w:t>
      </w:r>
      <w:r>
        <w:rPr>
          <w:rFonts w:ascii="Times New Roman" w:hAnsi="Times New Roman"/>
          <w:b/>
          <w:i w:val="0"/>
          <w:sz w:val="20"/>
        </w:rPr>
        <w:t>10 of 12</w:t>
      </w:r>
      <w:r>
        <w:rPr>
          <w:rFonts w:ascii="Times New Roman" w:hAnsi="Times New Roman"/>
          <w:b w:val="0"/>
          <w:i w:val="0"/>
          <w:sz w:val="20"/>
        </w:rPr>
        <w:t xml:space="preserve"> qualifying cells (83%; exact binomial P(X≥10| n=12, p=1/2)=0.019), while the resolution knob never moves it by more than </w:t>
      </w:r>
      <w:r>
        <w:rPr>
          <w:rFonts w:ascii="Times New Roman" w:hAnsi="Times New Roman"/>
          <w:b/>
          <w:i w:val="0"/>
          <w:sz w:val="20"/>
        </w:rPr>
        <w:t>32.0 pp</w:t>
      </w:r>
      <w:r>
        <w:rPr>
          <w:rFonts w:ascii="Times New Roman" w:hAnsi="Times New Roman"/>
          <w:b w:val="0"/>
          <w:i w:val="0"/>
          <w:sz w:val="20"/>
        </w:rPr>
        <w:t xml:space="preserve">. Decomposing the 24 cell-level rates gives a variance component of </w:t>
      </w:r>
      <w:r>
        <w:rPr>
          <w:rFonts w:ascii="Times New Roman" w:hAnsi="Times New Roman"/>
          <w:b/>
          <w:i w:val="0"/>
          <w:sz w:val="20"/>
        </w:rPr>
        <w:t>0.0959</w:t>
      </w:r>
      <w:r>
        <w:rPr>
          <w:rFonts w:ascii="Times New Roman" w:hAnsi="Times New Roman"/>
          <w:b w:val="0"/>
          <w:i w:val="0"/>
          <w:sz w:val="20"/>
        </w:rPr>
        <w:t xml:space="preserve"> for domain against </w:t>
      </w:r>
      <w:r>
        <w:rPr>
          <w:rFonts w:ascii="Times New Roman" w:hAnsi="Times New Roman"/>
          <w:b/>
          <w:i w:val="0"/>
          <w:sz w:val="20"/>
        </w:rPr>
        <w:t>0.0037</w:t>
      </w:r>
      <w:r>
        <w:rPr>
          <w:rFonts w:ascii="Times New Roman" w:hAnsi="Times New Roman"/>
          <w:b w:val="0"/>
          <w:i w:val="0"/>
          <w:sz w:val="20"/>
        </w:rPr>
        <w:t xml:space="preserve"> for family — a factor of </w:t>
      </w:r>
      <w:r>
        <w:rPr>
          <w:rFonts w:ascii="Times New Roman" w:hAnsi="Times New Roman"/>
          <w:b/>
          <w:i w:val="0"/>
          <w:sz w:val="20"/>
        </w:rPr>
        <w:t>25.8</w:t>
      </w:r>
      <w:r>
        <w:rPr>
          <w:rFonts w:ascii="Times New Roman" w:hAnsi="Times New Roman"/>
          <w:b w:val="0"/>
          <w:i w:val="0"/>
          <w:sz w:val="20"/>
        </w:rPr>
        <w:t xml:space="preserve"> — with a bootstrap interval that excludes zero — the frozen record value </w:t>
      </w:r>
      <w:r>
        <w:rPr>
          <w:rFonts w:ascii="Times New Roman" w:hAnsi="Times New Roman"/>
          <w:b/>
          <w:i w:val="0"/>
          <w:sz w:val="20"/>
        </w:rPr>
        <w:t>`[0.0831, 0.1002]`</w:t>
      </w:r>
      <w:r>
        <w:rPr>
          <w:rFonts w:ascii="Times New Roman" w:hAnsi="Times New Roman"/>
          <w:b w:val="0"/>
          <w:i w:val="0"/>
          <w:sz w:val="20"/>
        </w:rPr>
        <w:t>, item level (Appendix M.31.2). That is a fixed, protocol-deviating panel statement, not a population interval over families.</w:t>
      </w:r>
    </w:p>
    <w:p>
      <w:r>
        <w:rPr>
          <w:rFonts w:ascii="Times New Roman" w:hAnsi="Times New Roman"/>
          <w:b/>
          <w:i w:val="0"/>
          <w:sz w:val="20"/>
        </w:rPr>
        <w:t>Four of the six pre-registered predictions failed outright</w:t>
      </w:r>
      <w:r>
        <w:rPr>
          <w:rFonts w:ascii="Times New Roman" w:hAnsi="Times New Roman"/>
          <w:b w:val="0"/>
          <w:i w:val="0"/>
          <w:sz w:val="20"/>
        </w:rPr>
        <w:t xml:space="preserve"> (a prediction fails unless every conjunct passes; P2's second is not evaluable), bearing on scope, not measurement: the convention can change the top-ranked family in </w:t>
      </w:r>
      <w:r>
        <w:rPr>
          <w:rFonts w:ascii="Times New Roman" w:hAnsi="Times New Roman"/>
          <w:b/>
          <w:i w:val="0"/>
          <w:sz w:val="20"/>
        </w:rPr>
        <w:t>two of four</w:t>
      </w:r>
      <w:r>
        <w:rPr>
          <w:rFonts w:ascii="Times New Roman" w:hAnsi="Times New Roman"/>
          <w:b w:val="0"/>
          <w:i w:val="0"/>
          <w:sz w:val="20"/>
        </w:rPr>
        <w:t xml:space="preserve"> domains, and the exemplar arm removes the zero (by </w:t>
      </w:r>
      <w:r>
        <w:rPr>
          <w:rFonts w:ascii="Times New Roman" w:hAnsi="Times New Roman"/>
          <w:b/>
          <w:i w:val="0"/>
          <w:sz w:val="20"/>
        </w:rPr>
        <w:t>58–93 pp</w:t>
      </w:r>
      <w:r>
        <w:rPr>
          <w:rFonts w:ascii="Times New Roman" w:hAnsi="Times New Roman"/>
          <w:b w:val="0"/>
          <w:i w:val="0"/>
          <w:sz w:val="20"/>
        </w:rPr>
        <w:t xml:space="preserve"> in five of six families) without making the counts accurate — </w:t>
      </w:r>
      <w:r>
        <w:rPr>
          <w:rFonts w:ascii="Times New Roman" w:hAnsi="Times New Roman"/>
          <w:b/>
          <w:i w:val="0"/>
          <w:sz w:val="20"/>
        </w:rPr>
        <w:t>removing the zero is not the same as counting</w:t>
      </w:r>
      <w:r>
        <w:rPr>
          <w:rFonts w:ascii="Times New Roman" w:hAnsi="Times New Roman"/>
          <w:b w:val="0"/>
          <w:i w:val="0"/>
          <w:sz w:val="20"/>
        </w:rPr>
        <w:t xml:space="preserve"> (full verdicts and per-family numbers: Appendix M.31.2–M.31.4). </w:t>
      </w:r>
      <w:r>
        <w:rPr>
          <w:rFonts w:ascii="Times New Roman" w:hAnsi="Times New Roman"/>
          <w:b/>
          <w:i w:val="0"/>
          <w:sz w:val="20"/>
        </w:rPr>
        <w:t>On hosted endpoints the zero answer is contract-dependent, not absent.</w:t>
      </w:r>
      <w:r>
        <w:rPr>
          <w:rFonts w:ascii="Times New Roman" w:hAnsi="Times New Roman"/>
          <w:b w:val="0"/>
          <w:i w:val="0"/>
          <w:sz w:val="20"/>
        </w:rPr>
        <w:t xml:space="preserve"> Three proprietary deployments, on the same </w:t>
      </w:r>
      <w:r>
        <w:rPr>
          <w:rFonts w:ascii="Times New Roman" w:hAnsi="Times New Roman"/>
          <w:b/>
          <w:i w:val="0"/>
          <w:sz w:val="20"/>
        </w:rPr>
        <w:t>253</w:t>
      </w:r>
      <w:r>
        <w:rPr>
          <w:rFonts w:ascii="Times New Roman" w:hAnsi="Times New Roman"/>
          <w:b w:val="0"/>
          <w:i w:val="0"/>
          <w:sz w:val="20"/>
        </w:rPr>
        <w:t xml:space="preserve"> items, never answer zero under a number-only contract (</w:t>
      </w:r>
      <w:r>
        <w:rPr>
          <w:rFonts w:ascii="Times New Roman" w:hAnsi="Times New Roman"/>
          <w:b/>
          <w:i w:val="0"/>
          <w:sz w:val="20"/>
        </w:rPr>
        <w:t>0.0%</w:t>
      </w:r>
      <w:r>
        <w:rPr>
          <w:rFonts w:ascii="Times New Roman" w:hAnsi="Times New Roman"/>
          <w:b w:val="0"/>
          <w:i w:val="0"/>
          <w:sz w:val="20"/>
        </w:rPr>
        <w:t xml:space="preserve">; Wilson 95% upper bound </w:t>
      </w:r>
      <w:r>
        <w:rPr>
          <w:rFonts w:ascii="Times New Roman" w:hAnsi="Times New Roman"/>
          <w:b/>
          <w:i w:val="0"/>
          <w:sz w:val="20"/>
        </w:rPr>
        <w:t>1.5%</w:t>
      </w:r>
      <w:r>
        <w:rPr>
          <w:rFonts w:ascii="Times New Roman" w:hAnsi="Times New Roman"/>
          <w:b w:val="0"/>
          <w:i w:val="0"/>
          <w:sz w:val="20"/>
        </w:rPr>
        <w:t xml:space="preserve"> on 0 of 253); permitted to abstain they abstain explicitly on </w:t>
      </w:r>
      <w:r>
        <w:rPr>
          <w:rFonts w:ascii="Times New Roman" w:hAnsi="Times New Roman"/>
          <w:b/>
          <w:i w:val="0"/>
          <w:sz w:val="20"/>
        </w:rPr>
        <w:t>98–100%</w:t>
      </w:r>
      <w:r>
        <w:rPr>
          <w:rFonts w:ascii="Times New Roman" w:hAnsi="Times New Roman"/>
          <w:b w:val="0"/>
          <w:i w:val="0"/>
          <w:sz w:val="20"/>
        </w:rPr>
        <w:t xml:space="preserve"> of those items (residual 0.00%); and their numbers are more accurate than the open families' (</w:t>
      </w:r>
      <w:r>
        <w:rPr>
          <w:rFonts w:ascii="Times New Roman" w:hAnsi="Times New Roman"/>
          <w:b/>
          <w:i w:val="0"/>
          <w:sz w:val="20"/>
        </w:rPr>
        <w:t>34–47%</w:t>
      </w:r>
      <w:r>
        <w:rPr>
          <w:rFonts w:ascii="Times New Roman" w:hAnsi="Times New Roman"/>
          <w:b w:val="0"/>
          <w:i w:val="0"/>
          <w:sz w:val="20"/>
        </w:rPr>
        <w:t xml:space="preserve"> median relative error against </w:t>
      </w:r>
      <w:r>
        <w:rPr>
          <w:rFonts w:ascii="Times New Roman" w:hAnsi="Times New Roman"/>
          <w:b/>
          <w:i w:val="0"/>
          <w:sz w:val="20"/>
        </w:rPr>
        <w:t>59–83%</w:t>
      </w:r>
      <w:r>
        <w:rPr>
          <w:rFonts w:ascii="Times New Roman" w:hAnsi="Times New Roman"/>
          <w:b w:val="0"/>
          <w:i w:val="0"/>
          <w:sz w:val="20"/>
        </w:rPr>
        <w:t xml:space="preserve">). An observable zero answer can therefore be removed by the contract here too; whether the same latent state underlies it is </w:t>
      </w:r>
      <w:r>
        <w:rPr>
          <w:rFonts w:ascii="Times New Roman" w:hAnsi="Times New Roman"/>
          <w:b/>
          <w:i w:val="0"/>
          <w:sz w:val="20"/>
        </w:rPr>
        <w:t>not identified</w:t>
      </w:r>
      <w:r>
        <w:rPr>
          <w:rFonts w:ascii="Times New Roman" w:hAnsi="Times New Roman"/>
          <w:b w:val="0"/>
          <w:i w:val="0"/>
          <w:sz w:val="20"/>
        </w:rPr>
        <w:t>.</w:t>
      </w:r>
    </w:p>
    <w:p>
      <w:r>
        <w:rPr>
          <w:rFonts w:ascii="Times New Roman" w:hAnsi="Times New Roman"/>
          <w:b/>
          <w:i w:val="0"/>
          <w:sz w:val="20"/>
        </w:rPr>
        <w:t>What the same correction does to a published number.</w:t>
      </w:r>
      <w:r>
        <w:rPr>
          <w:rFonts w:ascii="Times New Roman" w:hAnsi="Times New Roman"/>
          <w:b w:val="0"/>
          <w:i w:val="0"/>
          <w:sz w:val="20"/>
        </w:rPr>
        <w:t xml:space="preserve"> The convention term is not a rounding detail: on the public benchmark the two conventions differ by a median of </w:t>
      </w:r>
      <w:r>
        <w:rPr>
          <w:rFonts w:ascii="Times New Roman" w:hAnsi="Times New Roman"/>
          <w:b/>
          <w:i w:val="0"/>
          <w:sz w:val="20"/>
        </w:rPr>
        <w:t>32.9</w:t>
      </w:r>
      <w:r>
        <w:rPr>
          <w:rFonts w:ascii="Times New Roman" w:hAnsi="Times New Roman"/>
          <w:b w:val="0"/>
          <w:i w:val="0"/>
          <w:sz w:val="20"/>
        </w:rPr>
        <w:t xml:space="preserve"> counts and by up to </w:t>
      </w:r>
      <w:r>
        <w:rPr>
          <w:rFonts w:ascii="Times New Roman" w:hAnsi="Times New Roman"/>
          <w:b/>
          <w:i w:val="0"/>
          <w:sz w:val="20"/>
        </w:rPr>
        <w:t>45.6</w:t>
      </w:r>
      <w:r>
        <w:rPr>
          <w:rFonts w:ascii="Times New Roman" w:hAnsi="Times New Roman"/>
          <w:b w:val="0"/>
          <w:i w:val="0"/>
          <w:sz w:val="20"/>
        </w:rPr>
        <w:t xml:space="preserve">, while the spread between its nine configurations under the published convention is </w:t>
      </w:r>
      <w:r>
        <w:rPr>
          <w:rFonts w:ascii="Times New Roman" w:hAnsi="Times New Roman"/>
          <w:b/>
          <w:i w:val="0"/>
          <w:sz w:val="20"/>
        </w:rPr>
        <w:t>2.6</w:t>
      </w:r>
      <w:r>
        <w:rPr>
          <w:rFonts w:ascii="Times New Roman" w:hAnsi="Times New Roman"/>
          <w:b w:val="0"/>
          <w:i w:val="0"/>
          <w:sz w:val="20"/>
        </w:rPr>
        <w:t xml:space="preserve"> counts — the convention effect is </w:t>
      </w:r>
      <w:r>
        <w:rPr>
          <w:rFonts w:ascii="Times New Roman" w:hAnsi="Times New Roman"/>
          <w:b/>
          <w:i w:val="0"/>
          <w:sz w:val="20"/>
        </w:rPr>
        <w:t>12.7 times</w:t>
      </w:r>
      <w:r>
        <w:rPr>
          <w:rFonts w:ascii="Times New Roman" w:hAnsi="Times New Roman"/>
          <w:b w:val="0"/>
          <w:i w:val="0"/>
          <w:sz w:val="20"/>
        </w:rPr>
        <w:t xml:space="preserve"> the between-system spread, and the two conventions reorder the panel (</w:t>
      </w:r>
      <w:r>
        <w:rPr>
          <w:rFonts w:ascii="Times New Roman" w:hAnsi="Times New Roman"/>
          <w:b/>
          <w:i w:val="0"/>
          <w:sz w:val="20"/>
        </w:rPr>
        <w:t>seven of 36</w:t>
      </w:r>
      <w:r>
        <w:rPr>
          <w:rFonts w:ascii="Times New Roman" w:hAnsi="Times New Roman"/>
          <w:b w:val="0"/>
          <w:i w:val="0"/>
          <w:sz w:val="20"/>
        </w:rPr>
        <w:t xml:space="preserve"> pairs invert, Spearman </w:t>
      </w:r>
      <w:r>
        <w:rPr>
          <w:rFonts w:ascii="Times New Roman" w:hAnsi="Times New Roman"/>
          <w:b/>
          <w:i w:val="0"/>
          <w:sz w:val="20"/>
        </w:rPr>
        <w:t>0.783</w:t>
      </w:r>
      <w:r>
        <w:rPr>
          <w:rFonts w:ascii="Times New Roman" w:hAnsi="Times New Roman"/>
          <w:b w:val="0"/>
          <w:i w:val="0"/>
          <w:sz w:val="20"/>
        </w:rPr>
        <w:t xml:space="preserve"> on the MAE ordering). Reporting one convention without the abstention mass therefore publishes an ordering of abstention propensity; the correction needs no re-run, since MAE_A=(1-w) MAE_B+w GT_abstained recovers it from any stored output (Appendix M.35).</w:t>
      </w:r>
    </w:p>
    <w:p>
      <w:pPr>
        <w:pStyle w:val="Heading2"/>
      </w:pPr>
      <w:r>
        <w:rPr>
          <w:rFonts w:ascii="Times New Roman" w:hAnsi="Times New Roman"/>
          <w:b/>
          <w:i w:val="0"/>
          <w:sz w:val="24"/>
        </w:rPr>
        <w:t>6. Results III: Density regression — direction is a function of the input-scale protocol</w:t>
      </w:r>
    </w:p>
    <w:p>
      <w:pPr>
        <w:pStyle w:val="Heading3"/>
      </w:pPr>
      <w:r>
        <w:rPr>
          <w:rFonts w:ascii="Times New Roman" w:hAnsi="Times New Roman"/>
          <w:b/>
          <w:i w:val="0"/>
          <w:sz w:val="20"/>
        </w:rPr>
        <w:t>6.1 Density regression has a scale freedom parameter that must be calibrated per domain</w:t>
      </w:r>
    </w:p>
    <w:p>
      <w:r>
        <w:rPr>
          <w:rFonts w:ascii="Times New Roman" w:hAnsi="Times New Roman"/>
          <w:b w:val="0"/>
          <w:i w:val="0"/>
          <w:sz w:val="20"/>
        </w:rPr>
        <w:t xml:space="preserve">On the dense end, density regression is the most accurate family under a fixed protocol but the least directionally controllable: its predicted totals scale multiplicatively with inference input size, so ρ is a function of the scale protocol, not of the model alone, and the family carries a </w:t>
      </w:r>
      <w:r>
        <w:rPr>
          <w:rFonts w:ascii="Times New Roman" w:hAnsi="Times New Roman"/>
          <w:b/>
          <w:i w:val="0"/>
          <w:sz w:val="20"/>
        </w:rPr>
        <w:t>scale freedom parameter that must be calibrated per domain</w:t>
      </w:r>
      <w:r>
        <w:rPr>
          <w:rFonts w:ascii="Times New Roman" w:hAnsi="Times New Roman"/>
          <w:b w:val="0"/>
          <w:i w:val="0"/>
          <w:sz w:val="20"/>
        </w:rPr>
        <w:t xml:space="preserve">. Because a reproduction of CSRNet required us to retire an implementation defect, all density-regression span figures here use the </w:t>
      </w:r>
      <w:r>
        <w:rPr>
          <w:rFonts w:ascii="Times New Roman" w:hAnsi="Times New Roman"/>
          <w:b/>
          <w:i w:val="0"/>
          <w:sz w:val="20"/>
        </w:rPr>
        <w:t>official DM-Count weights</w:t>
      </w:r>
      <w:r>
        <w:rPr>
          <w:rFonts w:ascii="Times New Roman" w:hAnsi="Times New Roman"/>
          <w:b w:val="0"/>
          <w:i w:val="0"/>
          <w:sz w:val="20"/>
        </w:rPr>
        <w:t xml:space="preserve"> on the identical item set and grid: </w:t>
      </w:r>
      <w:r>
        <w:rPr>
          <w:rFonts w:ascii="Times New Roman" w:hAnsi="Times New Roman"/>
          <w:b/>
          <w:i w:val="0"/>
          <w:sz w:val="20"/>
        </w:rPr>
        <w:t>20.1–34.3 pp</w:t>
      </w:r>
      <w:r>
        <w:rPr>
          <w:rFonts w:ascii="Times New Roman" w:hAnsi="Times New Roman"/>
          <w:b w:val="0"/>
          <w:i w:val="0"/>
          <w:sz w:val="20"/>
        </w:rPr>
        <w:t xml:space="preserve">, against </w:t>
      </w:r>
      <w:r>
        <w:rPr>
          <w:rFonts w:ascii="Times New Roman" w:hAnsi="Times New Roman"/>
          <w:b/>
          <w:i w:val="0"/>
          <w:sz w:val="20"/>
        </w:rPr>
        <w:t>10.1 pp</w:t>
      </w:r>
      <w:r>
        <w:rPr>
          <w:rFonts w:ascii="Times New Roman" w:hAnsi="Times New Roman"/>
          <w:b w:val="0"/>
          <w:i w:val="0"/>
          <w:sz w:val="20"/>
        </w:rPr>
        <w:t xml:space="preserve"> for official </w:t>
      </w:r>
      <w:r>
        <w:rPr>
          <w:rFonts w:ascii="Times New Roman" w:hAnsi="Times New Roman"/>
          <w:b/>
          <w:i w:val="0"/>
          <w:sz w:val="20"/>
        </w:rPr>
        <w:t>P2PNet</w:t>
      </w:r>
      <w:r>
        <w:rPr>
          <w:rFonts w:ascii="Times New Roman" w:hAnsi="Times New Roman"/>
          <w:b w:val="0"/>
          <w:i w:val="0"/>
          <w:sz w:val="20"/>
        </w:rPr>
        <w:t xml:space="preserve"> weights [1], and 107–1433 pp for the retired reproduction.</w:t>
      </w:r>
    </w:p>
    <w:p>
      <w:pPr>
        <w:pStyle w:val="Heading3"/>
      </w:pPr>
      <w:r>
        <w:rPr>
          <w:rFonts w:ascii="Times New Roman" w:hAnsi="Times New Roman"/>
          <w:b/>
          <w:i w:val="0"/>
          <w:sz w:val="20"/>
        </w:rPr>
        <w:t>6.2 Three further properties, and their protocols</w:t>
      </w:r>
    </w:p>
    <w:p>
      <w:r>
        <w:rPr>
          <w:rFonts w:ascii="Times New Roman" w:hAnsi="Times New Roman"/>
          <w:b w:val="0"/>
          <w:i w:val="0"/>
          <w:sz w:val="20"/>
        </w:rPr>
        <w:t>Three further measurement properties matter here (</w:t>
      </w:r>
      <w:r>
        <w:rPr>
          <w:rFonts w:ascii="Times New Roman" w:hAnsi="Times New Roman"/>
          <w:b/>
          <w:i w:val="0"/>
          <w:sz w:val="20"/>
        </w:rPr>
        <w:t>Appendix H</w:t>
      </w:r>
      <w:r>
        <w:rPr>
          <w:rFonts w:ascii="Times New Roman" w:hAnsi="Times New Roman"/>
          <w:b w:val="0"/>
          <w:i w:val="0"/>
          <w:sz w:val="20"/>
        </w:rPr>
        <w:t xml:space="preserve">): a counting-consistency term on the log ratio between the predicted integral and the ground-truth count reduces the seed-to-seed spread by roughly an order of magnitude and removes most of the systematic positive offset the uncorrected objective leaves behind — a </w:t>
      </w:r>
      <w:r>
        <w:rPr>
          <w:rFonts w:ascii="Times New Roman" w:hAnsi="Times New Roman"/>
          <w:b/>
          <w:i w:val="0"/>
          <w:sz w:val="20"/>
        </w:rPr>
        <w:t>remedy for a training artefact</w:t>
      </w:r>
      <w:r>
        <w:rPr>
          <w:rFonts w:ascii="Times New Roman" w:hAnsi="Times New Roman"/>
          <w:b w:val="0"/>
          <w:i w:val="0"/>
          <w:sz w:val="20"/>
        </w:rPr>
        <w:t xml:space="preserve">, not a new architecture (H.1); the abstention rate is stable </w:t>
      </w:r>
      <w:r>
        <w:rPr>
          <w:rFonts w:ascii="Times New Roman" w:hAnsi="Times New Roman"/>
          <w:b/>
          <w:i w:val="0"/>
          <w:sz w:val="20"/>
        </w:rPr>
        <w:t>only under greedy decoding</w:t>
      </w:r>
      <w:r>
        <w:rPr>
          <w:rFonts w:ascii="Times New Roman" w:hAnsi="Times New Roman"/>
          <w:b w:val="0"/>
          <w:i w:val="0"/>
          <w:sz w:val="20"/>
        </w:rPr>
        <w:t>, since under sampling it co-varies with temperature and sample count, so our protocol fixes temperature at 0 (H.2); and the collapse of the VLM contract arm's output under overlap occurs for both 8B and 32B models at comparable overlap levels, making it a property of the task structure, not of model capacity (H.3).</w:t>
      </w:r>
    </w:p>
    <w:p>
      <w:pPr>
        <w:pStyle w:val="Heading2"/>
      </w:pPr>
      <w:r>
        <w:rPr>
          <w:rFonts w:ascii="Times New Roman" w:hAnsi="Times New Roman"/>
          <w:b/>
          <w:i w:val="0"/>
          <w:sz w:val="24"/>
        </w:rPr>
        <w:t>7. Discussion</w:t>
      </w:r>
    </w:p>
    <w:p>
      <w:pPr>
        <w:pStyle w:val="Heading3"/>
      </w:pPr>
      <w:r>
        <w:rPr>
          <w:rFonts w:ascii="Times New Roman" w:hAnsi="Times New Roman"/>
          <w:b/>
          <w:i w:val="0"/>
          <w:sz w:val="20"/>
        </w:rPr>
        <w:t>7.1 Legibility, not OPM, is the stratifying variable</w:t>
      </w:r>
    </w:p>
    <w:p>
      <w:r>
        <w:rPr>
          <w:rFonts w:ascii="Times New Roman" w:hAnsi="Times New Roman"/>
          <w:b w:val="0"/>
          <w:i w:val="0"/>
          <w:sz w:val="20"/>
        </w:rPr>
        <w:t xml:space="preserve">The conventional density axis conflates "how many objects are there" with "how hard is each one to ascertain". Across ten domain/dataset points the correlation between abstention rate and object count is only r = +0.33, with no explanatory power, whereas the legibility proxy orders the same points consistently. It is used here as a </w:t>
      </w:r>
      <w:r>
        <w:rPr>
          <w:rFonts w:ascii="Times New Roman" w:hAnsi="Times New Roman"/>
          <w:b/>
          <w:i w:val="0"/>
          <w:sz w:val="20"/>
        </w:rPr>
        <w:t>stratifier</w:t>
      </w:r>
      <w:r>
        <w:rPr>
          <w:rFonts w:ascii="Times New Roman" w:hAnsi="Times New Roman"/>
          <w:b w:val="0"/>
          <w:i w:val="0"/>
          <w:sz w:val="20"/>
        </w:rPr>
        <w:t>, not as the paper's primary claim: the contract result (§5.7) and the convention result (§5.12) hold without it. A downstream user who wants a rule, not a stratifier should read §7.7 and Appendix M.20 first.</w:t>
      </w:r>
    </w:p>
    <w:p>
      <w:pPr>
        <w:pStyle w:val="Heading3"/>
      </w:pPr>
      <w:r>
        <w:rPr>
          <w:rFonts w:ascii="Times New Roman" w:hAnsi="Times New Roman"/>
          <w:b/>
          <w:i w:val="0"/>
          <w:sz w:val="20"/>
        </w:rPr>
        <w:t>7.2 Same-scale accuracy comparison across the three families</w:t>
      </w:r>
    </w:p>
    <w:p>
      <w:r>
        <w:rPr>
          <w:rFonts w:ascii="Times New Roman" w:hAnsi="Times New Roman"/>
          <w:b w:val="0"/>
          <w:i w:val="0"/>
          <w:sz w:val="20"/>
        </w:rPr>
        <w:t>Bringing the three families to a common effective instance scale inverts the usual ranking (full table in Appendix F.1). A single density-regression number is not a comparable quantity unless the weight set is specified. (Appendix M.11)</w:t>
      </w:r>
    </w:p>
    <w:p>
      <w:pPr>
        <w:pStyle w:val="Heading3"/>
      </w:pPr>
      <w:r>
        <w:rPr>
          <w:rFonts w:ascii="Times New Roman" w:hAnsi="Times New Roman"/>
          <w:b/>
          <w:i w:val="0"/>
          <w:sz w:val="20"/>
        </w:rPr>
        <w:t>7.3 The response spectrum of knobs: the ordering, and what is not predicted</w:t>
      </w:r>
    </w:p>
    <w:p>
      <w:r>
        <w:rPr>
          <w:rFonts w:ascii="Times New Roman" w:hAnsi="Times New Roman"/>
          <w:b/>
          <w:i w:val="0"/>
          <w:sz w:val="20"/>
        </w:rPr>
        <w:t>What this design can and cannot resolve.</w:t>
      </w:r>
      <w:r>
        <w:rPr>
          <w:rFonts w:ascii="Times New Roman" w:hAnsi="Times New Roman"/>
          <w:b w:val="0"/>
          <w:i w:val="0"/>
          <w:sz w:val="20"/>
        </w:rPr>
        <w:t xml:space="preserve"> Ten unit values on four sides — six knobs map onto four sides, and Appendix F.2 reconciles the three unit sets — resolve to the design's own noise floor, </w:t>
      </w:r>
      <w:r>
        <w:rPr>
          <w:rFonts w:ascii="Times New Roman" w:hAnsi="Times New Roman"/>
          <w:b/>
          <w:i w:val="0"/>
          <w:sz w:val="20"/>
        </w:rPr>
        <w:t>2.15–6.46 pp</w:t>
      </w:r>
      <w:r>
        <w:rPr>
          <w:rFonts w:ascii="Times New Roman" w:hAnsi="Times New Roman"/>
          <w:b w:val="0"/>
          <w:i w:val="0"/>
          <w:sz w:val="20"/>
        </w:rPr>
        <w:t>, and the separating split (</w:t>
      </w:r>
      <w:r>
        <w:rPr>
          <w:rFonts w:ascii="Times New Roman" w:hAnsi="Times New Roman"/>
          <w:b/>
          <w:i w:val="0"/>
          <w:sz w:val="20"/>
        </w:rPr>
        <w:t>1.6 pp</w:t>
      </w:r>
      <w:r>
        <w:rPr>
          <w:rFonts w:ascii="Times New Roman" w:hAnsi="Times New Roman"/>
          <w:b w:val="0"/>
          <w:i w:val="0"/>
          <w:sz w:val="20"/>
        </w:rPr>
        <w:t xml:space="preserve">, corrected p </w:t>
      </w:r>
      <w:r>
        <w:rPr>
          <w:rFonts w:ascii="Times New Roman" w:hAnsi="Times New Roman"/>
          <w:b/>
          <w:i w:val="0"/>
          <w:sz w:val="20"/>
        </w:rPr>
        <w:t>≥0.075</w:t>
      </w:r>
      <w:r>
        <w:rPr>
          <w:rFonts w:ascii="Times New Roman" w:hAnsi="Times New Roman"/>
          <w:b w:val="0"/>
          <w:i w:val="0"/>
          <w:sz w:val="20"/>
        </w:rPr>
        <w:t xml:space="preserve">) lies below it, so </w:t>
      </w:r>
      <w:r>
        <w:rPr>
          <w:rFonts w:ascii="Times New Roman" w:hAnsi="Times New Roman"/>
          <w:b/>
          <w:i w:val="0"/>
          <w:sz w:val="20"/>
        </w:rPr>
        <w:t>no gap whatsoever would be certified by this test</w:t>
      </w:r>
      <w:r>
        <w:rPr>
          <w:rFonts w:ascii="Times New Roman" w:hAnsi="Times New Roman"/>
          <w:b w:val="0"/>
          <w:i w:val="0"/>
          <w:sz w:val="20"/>
        </w:rPr>
        <w:t xml:space="preserve">; a 5-vs-5 split needs </w:t>
      </w:r>
      <w:r>
        <w:rPr>
          <w:rFonts w:ascii="Times New Roman" w:hAnsi="Times New Roman"/>
          <w:b/>
          <w:i w:val="0"/>
          <w:sz w:val="20"/>
        </w:rPr>
        <w:t>6.5 pp</w:t>
      </w:r>
      <w:r>
        <w:rPr>
          <w:rFonts w:ascii="Times New Roman" w:hAnsi="Times New Roman"/>
          <w:b w:val="0"/>
          <w:i w:val="0"/>
          <w:sz w:val="20"/>
        </w:rPr>
        <w:t xml:space="preserve"> for 80% power. What the design supports is the </w:t>
      </w:r>
      <w:r>
        <w:rPr>
          <w:rFonts w:ascii="Times New Roman" w:hAnsi="Times New Roman"/>
          <w:b/>
          <w:i w:val="0"/>
          <w:sz w:val="20"/>
        </w:rPr>
        <w:t>ordering</w:t>
      </w:r>
      <w:r>
        <w:rPr>
          <w:rFonts w:ascii="Times New Roman" w:hAnsi="Times New Roman"/>
          <w:b w:val="0"/>
          <w:i w:val="0"/>
          <w:sz w:val="20"/>
        </w:rPr>
        <w:t xml:space="preserve"> under the </w:t>
      </w:r>
      <w:r>
        <w:rPr>
          <w:rFonts w:ascii="Times New Roman" w:hAnsi="Times New Roman"/>
          <w:b/>
          <w:i w:val="0"/>
          <w:sz w:val="20"/>
        </w:rPr>
        <w:t>pooled relative deviation</w:t>
      </w:r>
      <w:r>
        <w:rPr>
          <w:rFonts w:ascii="Times New Roman" w:hAnsi="Times New Roman"/>
          <w:b w:val="0"/>
          <w:i w:val="0"/>
          <w:sz w:val="20"/>
        </w:rPr>
        <w:t xml:space="preserve"> (Appendix F.7, M.37). </w:t>
      </w:r>
      <w:r>
        <w:rPr>
          <w:rFonts w:ascii="Times New Roman" w:hAnsi="Times New Roman"/>
          <w:b/>
          <w:i w:val="0"/>
          <w:sz w:val="20"/>
        </w:rPr>
        <w:t>The ordering is stable under the two obvious deflations, with intervals.</w:t>
      </w:r>
      <w:r>
        <w:rPr>
          <w:rFonts w:ascii="Times New Roman" w:hAnsi="Times New Roman"/>
          <w:b w:val="0"/>
          <w:i w:val="0"/>
          <w:sz w:val="20"/>
        </w:rPr>
        <w:t xml:space="preserve"> Re-estimated on a </w:t>
      </w:r>
      <w:r>
        <w:rPr>
          <w:rFonts w:ascii="Times New Roman" w:hAnsi="Times New Roman"/>
          <w:b/>
          <w:i w:val="0"/>
          <w:sz w:val="20"/>
        </w:rPr>
        <w:t>common level count</w:t>
      </w:r>
      <w:r>
        <w:rPr>
          <w:rFonts w:ascii="Times New Roman" w:hAnsi="Times New Roman"/>
          <w:b w:val="0"/>
          <w:i w:val="0"/>
          <w:sz w:val="20"/>
        </w:rPr>
        <w:t xml:space="preserve"> with each ladder's extreme level removed, it still comes out at Spearman </w:t>
      </w:r>
      <w:r>
        <w:rPr>
          <w:rFonts w:ascii="Times New Roman" w:hAnsi="Times New Roman"/>
          <w:b/>
          <w:i w:val="0"/>
          <w:sz w:val="20"/>
        </w:rPr>
        <w:t>0.999 / 0.981 / 0.991</w:t>
      </w:r>
      <w:r>
        <w:rPr>
          <w:rFonts w:ascii="Times New Roman" w:hAnsi="Times New Roman"/>
          <w:b w:val="0"/>
          <w:i w:val="0"/>
          <w:sz w:val="20"/>
        </w:rPr>
        <w:t xml:space="preserve"> over 24 (knob × domain) units, and at </w:t>
      </w:r>
      <w:r>
        <w:rPr>
          <w:rFonts w:ascii="Times New Roman" w:hAnsi="Times New Roman"/>
          <w:b/>
          <w:i w:val="0"/>
          <w:sz w:val="20"/>
        </w:rPr>
        <w:t>0.983 / 0.987 / 0.983</w:t>
      </w:r>
      <w:r>
        <w:rPr>
          <w:rFonts w:ascii="Times New Roman" w:hAnsi="Times New Roman"/>
          <w:b w:val="0"/>
          <w:i w:val="0"/>
          <w:sz w:val="20"/>
        </w:rPr>
        <w:t xml:space="preserve"> on a </w:t>
      </w:r>
      <w:r>
        <w:rPr>
          <w:rFonts w:ascii="Times New Roman" w:hAnsi="Times New Roman"/>
          <w:b/>
          <w:i w:val="0"/>
          <w:sz w:val="20"/>
        </w:rPr>
        <w:t>fully recomputable</w:t>
      </w:r>
      <w:r>
        <w:rPr>
          <w:rFonts w:ascii="Times New Roman" w:hAnsi="Times New Roman"/>
          <w:b w:val="0"/>
          <w:i w:val="0"/>
          <w:sz w:val="20"/>
        </w:rPr>
        <w:t xml:space="preserve"> unit set at the same level count (31 units; Appendix M.37). A bootstrap that resamples whole units puts it at </w:t>
      </w:r>
      <w:r>
        <w:rPr>
          <w:rFonts w:ascii="Times New Roman" w:hAnsi="Times New Roman"/>
          <w:b/>
          <w:i w:val="0"/>
          <w:sz w:val="20"/>
        </w:rPr>
        <w:t>0.943–0.996</w:t>
      </w:r>
      <w:r>
        <w:rPr>
          <w:rFonts w:ascii="Times New Roman" w:hAnsi="Times New Roman"/>
          <w:b w:val="0"/>
          <w:i w:val="0"/>
          <w:sz w:val="20"/>
        </w:rPr>
        <w:t xml:space="preserve"> (31 units) and </w:t>
      </w:r>
      <w:r>
        <w:rPr>
          <w:rFonts w:ascii="Times New Roman" w:hAnsi="Times New Roman"/>
          <w:b/>
          <w:i w:val="0"/>
          <w:sz w:val="20"/>
        </w:rPr>
        <w:t>0.834–0.984</w:t>
      </w:r>
      <w:r>
        <w:rPr>
          <w:rFonts w:ascii="Times New Roman" w:hAnsi="Times New Roman"/>
          <w:b w:val="0"/>
          <w:i w:val="0"/>
          <w:sz w:val="20"/>
        </w:rPr>
        <w:t xml:space="preserve"> (36 units, k=3), and </w:t>
      </w:r>
      <w:r>
        <w:rPr>
          <w:rFonts w:ascii="Times New Roman" w:hAnsi="Times New Roman"/>
          <w:b/>
          <w:i w:val="0"/>
          <w:sz w:val="20"/>
        </w:rPr>
        <w:t>clustering by knob gives 0.913–0.994</w:t>
      </w:r>
      <w:r>
        <w:rPr>
          <w:rFonts w:ascii="Times New Roman" w:hAnsi="Times New Roman"/>
          <w:b w:val="0"/>
          <w:i w:val="0"/>
          <w:sz w:val="20"/>
        </w:rPr>
        <w:t xml:space="preserve">, while the wider resampling gives </w:t>
      </w:r>
      <w:r>
        <w:rPr>
          <w:rFonts w:ascii="Times New Roman" w:hAnsi="Times New Roman"/>
          <w:b/>
          <w:i w:val="0"/>
          <w:sz w:val="20"/>
        </w:rPr>
        <w:t>0.711–0.998</w:t>
      </w:r>
      <w:r>
        <w:rPr>
          <w:rFonts w:ascii="Times New Roman" w:hAnsi="Times New Roman"/>
          <w:b w:val="0"/>
          <w:i w:val="0"/>
          <w:sz w:val="20"/>
        </w:rPr>
        <w:t>; a label-permutation test gives p&lt;5×10^-5; leaving out any single knob (</w:t>
      </w:r>
      <w:r>
        <w:rPr>
          <w:rFonts w:ascii="Times New Roman" w:hAnsi="Times New Roman"/>
          <w:b/>
          <w:i w:val="0"/>
          <w:sz w:val="20"/>
        </w:rPr>
        <w:t>36</w:t>
      </w:r>
      <w:r>
        <w:rPr>
          <w:rFonts w:ascii="Times New Roman" w:hAnsi="Times New Roman"/>
          <w:b w:val="0"/>
          <w:i w:val="0"/>
          <w:sz w:val="20"/>
        </w:rPr>
        <w:t xml:space="preserve"> units) keeps it at </w:t>
      </w:r>
      <w:r>
        <w:rPr>
          <w:rFonts w:ascii="Times New Roman" w:hAnsi="Times New Roman"/>
          <w:b/>
          <w:i w:val="0"/>
          <w:sz w:val="20"/>
        </w:rPr>
        <w:t>0.883–0.970</w:t>
      </w:r>
      <w:r>
        <w:rPr>
          <w:rFonts w:ascii="Times New Roman" w:hAnsi="Times New Roman"/>
          <w:b w:val="0"/>
          <w:i w:val="0"/>
          <w:sz w:val="20"/>
        </w:rPr>
        <w:t xml:space="preserve">; per-unit spans with caliber intervals are plotted in </w:t>
      </w:r>
      <w:r>
        <w:rPr>
          <w:rFonts w:ascii="Times New Roman" w:hAnsi="Times New Roman"/>
          <w:b/>
          <w:i w:val="0"/>
          <w:sz w:val="20"/>
        </w:rPr>
        <w:t>Fig. F.17</w:t>
      </w:r>
      <w:r>
        <w:rPr>
          <w:rFonts w:ascii="Times New Roman" w:hAnsi="Times New Roman"/>
          <w:b w:val="0"/>
          <w:i w:val="0"/>
          <w:sz w:val="20"/>
        </w:rPr>
        <w:t xml:space="preserve"> (Appendix F.12). It also comes out </w:t>
      </w:r>
      <w:r>
        <w:rPr>
          <w:rFonts w:ascii="Times New Roman" w:hAnsi="Times New Roman"/>
          <w:b/>
          <w:i w:val="0"/>
          <w:sz w:val="20"/>
        </w:rPr>
        <w:t>exactly</w:t>
      </w:r>
      <w:r>
        <w:rPr>
          <w:rFonts w:ascii="Times New Roman" w:hAnsi="Times New Roman"/>
          <w:b w:val="0"/>
          <w:i w:val="0"/>
          <w:sz w:val="20"/>
        </w:rPr>
        <w:t xml:space="preserve"> the same under shared affine calibration (Proposition 5: </w:t>
      </w:r>
      <w:r>
        <w:rPr>
          <w:rFonts w:ascii="Times New Roman" w:hAnsi="Times New Roman"/>
          <w:b w:val="0"/>
          <w:i/>
          <w:sz w:val="20"/>
        </w:rPr>
        <w:t>span ↦ s·span</w:t>
      </w:r>
      <w:r>
        <w:rPr>
          <w:rFonts w:ascii="Times New Roman" w:hAnsi="Times New Roman"/>
          <w:b w:val="0"/>
          <w:i w:val="0"/>
          <w:sz w:val="20"/>
        </w:rPr>
        <w:t xml:space="preserve">) and under no calibration — the M.37 held-out third gives median </w:t>
      </w:r>
      <w:r>
        <w:rPr>
          <w:rFonts w:ascii="Times New Roman" w:hAnsi="Times New Roman"/>
          <w:b/>
          <w:i w:val="0"/>
          <w:sz w:val="20"/>
        </w:rPr>
        <w:t>0.995</w:t>
      </w:r>
      <w:r>
        <w:rPr>
          <w:rFonts w:ascii="Times New Roman" w:hAnsi="Times New Roman"/>
          <w:b w:val="0"/>
          <w:i w:val="0"/>
          <w:sz w:val="20"/>
        </w:rPr>
        <w:t xml:space="preserve">, interval </w:t>
      </w:r>
      <w:r>
        <w:rPr>
          <w:rFonts w:ascii="Times New Roman" w:hAnsi="Times New Roman"/>
          <w:b/>
          <w:i w:val="0"/>
          <w:sz w:val="20"/>
        </w:rPr>
        <w:t>0.984–0.998</w:t>
      </w:r>
      <w:r>
        <w:rPr>
          <w:rFonts w:ascii="Times New Roman" w:hAnsi="Times New Roman"/>
          <w:b w:val="0"/>
          <w:i w:val="0"/>
          <w:sz w:val="20"/>
        </w:rPr>
        <w:t xml:space="preserve">, above 0.9 in </w:t>
      </w:r>
      <w:r>
        <w:rPr>
          <w:rFonts w:ascii="Times New Roman" w:hAnsi="Times New Roman"/>
          <w:b/>
          <w:i w:val="0"/>
          <w:sz w:val="20"/>
        </w:rPr>
        <w:t>200 of 200</w:t>
      </w:r>
      <w:r>
        <w:rPr>
          <w:rFonts w:ascii="Times New Roman" w:hAnsi="Times New Roman"/>
          <w:b w:val="0"/>
          <w:i w:val="0"/>
          <w:sz w:val="20"/>
        </w:rPr>
        <w:t xml:space="preserve"> splits — but not when each unit is re-fitted independently: </w:t>
      </w:r>
      <w:r>
        <w:rPr>
          <w:rFonts w:ascii="Times New Roman" w:hAnsi="Times New Roman"/>
          <w:b/>
          <w:i w:val="0"/>
          <w:sz w:val="20"/>
        </w:rPr>
        <w:t>0.810 / 0.536</w:t>
      </w:r>
      <w:r>
        <w:rPr>
          <w:rFonts w:ascii="Times New Roman" w:hAnsi="Times New Roman"/>
          <w:b w:val="0"/>
          <w:i w:val="0"/>
          <w:sz w:val="20"/>
        </w:rPr>
        <w:t xml:space="preserve"> over 8 / 36 units, per-unit family medians </w:t>
      </w:r>
      <w:r>
        <w:rPr>
          <w:rFonts w:ascii="Times New Roman" w:hAnsi="Times New Roman"/>
          <w:b/>
          <w:i w:val="0"/>
          <w:sz w:val="20"/>
        </w:rPr>
        <w:t>0.41–0.54</w:t>
      </w:r>
      <w:r>
        <w:rPr>
          <w:rFonts w:ascii="Times New Roman" w:hAnsi="Times New Roman"/>
          <w:b w:val="0"/>
          <w:i w:val="0"/>
          <w:sz w:val="20"/>
        </w:rPr>
        <w:t xml:space="preserve"> (isotonic </w:t>
      </w:r>
      <w:r>
        <w:rPr>
          <w:rFonts w:ascii="Times New Roman" w:hAnsi="Times New Roman"/>
          <w:b/>
          <w:i w:val="0"/>
          <w:sz w:val="20"/>
        </w:rPr>
        <w:t>0.571 / 0.521</w:t>
      </w:r>
      <w:r>
        <w:rPr>
          <w:rFonts w:ascii="Times New Roman" w:hAnsi="Times New Roman"/>
          <w:b w:val="0"/>
          <w:i w:val="0"/>
          <w:sz w:val="20"/>
        </w:rPr>
        <w:t xml:space="preserve">). Measured s spans </w:t>
      </w:r>
      <w:r>
        <w:rPr>
          <w:rFonts w:ascii="Times New Roman" w:hAnsi="Times New Roman"/>
          <w:b/>
          <w:i w:val="0"/>
          <w:sz w:val="20"/>
        </w:rPr>
        <w:t>0.027–2.352</w:t>
      </w:r>
      <w:r>
        <w:rPr>
          <w:rFonts w:ascii="Times New Roman" w:hAnsi="Times New Roman"/>
          <w:b w:val="0"/>
          <w:i w:val="0"/>
          <w:sz w:val="20"/>
        </w:rPr>
        <w:t xml:space="preserve">, so reducing the median span and equalising the factor </w:t>
      </w:r>
      <w:r>
        <w:rPr>
          <w:rFonts w:ascii="Times New Roman" w:hAnsi="Times New Roman"/>
          <w:b/>
          <w:i w:val="0"/>
          <w:sz w:val="20"/>
        </w:rPr>
        <w:t>across units</w:t>
      </w:r>
      <w:r>
        <w:rPr>
          <w:rFonts w:ascii="Times New Roman" w:hAnsi="Times New Roman"/>
          <w:b w:val="0"/>
          <w:i w:val="0"/>
          <w:sz w:val="20"/>
        </w:rPr>
        <w:t xml:space="preserve"> are separate requirements, and only the second preserves the ordering; </w:t>
      </w:r>
      <w:r>
        <w:rPr>
          <w:rFonts w:ascii="Times New Roman" w:hAnsi="Times New Roman"/>
          <w:b/>
          <w:i w:val="0"/>
          <w:sz w:val="20"/>
        </w:rPr>
        <w:t>no granularity validated here meets it, so transfer is unverified rather than excluded</w:t>
      </w:r>
      <w:r>
        <w:rPr>
          <w:rFonts w:ascii="Times New Roman" w:hAnsi="Times New Roman"/>
          <w:b w:val="0"/>
          <w:i w:val="0"/>
          <w:sz w:val="20"/>
        </w:rPr>
        <w:t xml:space="preserve"> (per-domain </w:t>
      </w:r>
      <w:r>
        <w:rPr>
          <w:rFonts w:ascii="Times New Roman" w:hAnsi="Times New Roman"/>
          <w:b/>
          <w:i w:val="0"/>
          <w:sz w:val="20"/>
        </w:rPr>
        <w:t>0.732</w:t>
      </w:r>
      <w:r>
        <w:rPr>
          <w:rFonts w:ascii="Times New Roman" w:hAnsi="Times New Roman"/>
          <w:b w:val="0"/>
          <w:i w:val="0"/>
          <w:sz w:val="20"/>
        </w:rPr>
        <w:t xml:space="preserve">; Appendix M.37). The claim is scoped to the first two calibers, and the VLM unit's build-sensitivity is bounded in </w:t>
      </w:r>
      <w:r>
        <w:rPr>
          <w:rFonts w:ascii="Times New Roman" w:hAnsi="Times New Roman"/>
          <w:b/>
          <w:i w:val="0"/>
          <w:sz w:val="20"/>
        </w:rPr>
        <w:t>Appendix M.18.8</w:t>
      </w:r>
      <w:r>
        <w:rPr>
          <w:rFonts w:ascii="Times New Roman" w:hAnsi="Times New Roman"/>
          <w:b w:val="0"/>
          <w:i w:val="0"/>
          <w:sz w:val="20"/>
        </w:rPr>
        <w:t xml:space="preserve"> (its level moves 90.3 pp across five builds; its contract effect does not). The </w:t>
      </w:r>
      <w:r>
        <w:rPr>
          <w:rFonts w:ascii="Times New Roman" w:hAnsi="Times New Roman"/>
          <w:b w:val="0"/>
          <w:i/>
          <w:sz w:val="20"/>
        </w:rPr>
        <w:t>magnitudes</w:t>
      </w:r>
      <w:r>
        <w:rPr>
          <w:rFonts w:ascii="Times New Roman" w:hAnsi="Times New Roman"/>
          <w:b w:val="0"/>
          <w:i w:val="0"/>
          <w:sz w:val="20"/>
        </w:rPr>
        <w:t xml:space="preserve"> are not caliber-portable: the in-domain detector ladders give </w:t>
      </w:r>
      <w:r>
        <w:rPr>
          <w:rFonts w:ascii="Times New Roman" w:hAnsi="Times New Roman"/>
          <w:b/>
          <w:i w:val="0"/>
          <w:sz w:val="20"/>
        </w:rPr>
        <w:t>96–196 pp</w:t>
      </w:r>
      <w:r>
        <w:rPr>
          <w:rFonts w:ascii="Times New Roman" w:hAnsi="Times New Roman"/>
          <w:b w:val="0"/>
          <w:i w:val="0"/>
          <w:sz w:val="20"/>
        </w:rPr>
        <w:t xml:space="preserve"> person-matched and </w:t>
      </w:r>
      <w:r>
        <w:rPr>
          <w:rFonts w:ascii="Times New Roman" w:hAnsi="Times New Roman"/>
          <w:b/>
          <w:i w:val="0"/>
          <w:sz w:val="20"/>
        </w:rPr>
        <w:t>353–508 pp</w:t>
      </w:r>
      <w:r>
        <w:rPr>
          <w:rFonts w:ascii="Times New Roman" w:hAnsi="Times New Roman"/>
          <w:b w:val="0"/>
          <w:i w:val="0"/>
          <w:sz w:val="20"/>
        </w:rPr>
        <w:t xml:space="preserve"> all-detections, so a magnitude is quoted with its </w:t>
      </w:r>
      <w:r>
        <w:rPr>
          <w:rFonts w:ascii="Times New Roman" w:hAnsi="Times New Roman"/>
          <w:b/>
          <w:i w:val="0"/>
          <w:sz w:val="20"/>
        </w:rPr>
        <w:t>caliber</w:t>
      </w:r>
      <w:r>
        <w:rPr>
          <w:rFonts w:ascii="Times New Roman" w:hAnsi="Times New Roman"/>
          <w:b w:val="0"/>
          <w:i w:val="0"/>
          <w:sz w:val="20"/>
        </w:rPr>
        <w:t xml:space="preserve"> (Appendix F.2; M.37). </w:t>
      </w:r>
      <w:r>
        <w:rPr>
          <w:rFonts w:ascii="Times New Roman" w:hAnsi="Times New Roman"/>
          <w:b/>
          <w:i w:val="0"/>
          <w:sz w:val="20"/>
        </w:rPr>
        <w:t>No scale-free form of the span — equal-count gridding, endpoint removal, or the three M.37 calibration families — makes cross-knob magnitudes invariant, and the ordering also survives normalising each span by its knob travel (Appendix F.10; M.37).</w:t>
      </w:r>
      <w:r>
        <w:rPr>
          <w:rFonts w:ascii="Times New Roman" w:hAnsi="Times New Roman"/>
          <w:b w:val="0"/>
          <w:i w:val="0"/>
          <w:sz w:val="20"/>
        </w:rPr>
        <w:t xml:space="preserve"> </w:t>
      </w:r>
      <w:r>
        <w:rPr>
          <w:rFonts w:ascii="Times New Roman" w:hAnsi="Times New Roman"/>
          <w:b/>
          <w:i w:val="0"/>
          <w:sz w:val="20"/>
        </w:rPr>
        <w:t>On two counting domains this paper has never used it passes on one and is a knife-edge that fails on the other (M.49).</w:t>
      </w:r>
      <w:r>
        <w:rPr>
          <w:rFonts w:ascii="Times New Roman" w:hAnsi="Times New Roman"/>
          <w:b w:val="0"/>
          <w:i w:val="0"/>
          <w:sz w:val="20"/>
        </w:rPr>
        <w:t xml:space="preserve"> </w:t>
      </w:r>
      <w:r>
        <w:rPr>
          <w:rFonts w:ascii="Times New Roman" w:hAnsi="Times New Roman"/>
          <w:b/>
          <w:i w:val="0"/>
          <w:sz w:val="20"/>
        </w:rPr>
        <w:t>Under a common error-and-cost budget the ordering is not preserved and half the units admit no admissible pair at all (Appendix M.45).</w:t>
      </w:r>
      <w:r>
        <w:rPr>
          <w:rFonts w:ascii="Times New Roman" w:hAnsi="Times New Roman"/>
          <w:b w:val="0"/>
          <w:i w:val="0"/>
          <w:sz w:val="20"/>
        </w:rPr>
        <w:t xml:space="preserve"> </w:t>
      </w:r>
      <w:r>
        <w:rPr>
          <w:rFonts w:ascii="Times New Roman" w:hAnsi="Times New Roman"/>
          <w:b/>
          <w:i w:val="0"/>
          <w:sz w:val="20"/>
        </w:rPr>
        <w:t>Availability is decidable</w:t>
      </w:r>
      <w:r>
        <w:rPr>
          <w:rFonts w:ascii="Times New Roman" w:hAnsi="Times New Roman"/>
          <w:b w:val="0"/>
          <w:i w:val="0"/>
          <w:sz w:val="20"/>
        </w:rPr>
        <w:t xml:space="preserve">: "is </w:t>
      </w:r>
      <w:r>
        <w:rPr>
          <w:rFonts w:ascii="Times New Roman" w:hAnsi="Times New Roman"/>
          <w:b w:val="0"/>
          <w:i/>
          <w:sz w:val="20"/>
        </w:rPr>
        <w:t>pred/gt ≥ 1</w:t>
      </w:r>
      <w:r>
        <w:rPr>
          <w:rFonts w:ascii="Times New Roman" w:hAnsi="Times New Roman"/>
          <w:b w:val="0"/>
          <w:i w:val="0"/>
          <w:sz w:val="20"/>
        </w:rPr>
        <w:t xml:space="preserve"> at the loosest admitted level?" predicts reachability with </w:t>
      </w:r>
      <w:r>
        <w:rPr>
          <w:rFonts w:ascii="Times New Roman" w:hAnsi="Times New Roman"/>
          <w:b/>
          <w:i w:val="0"/>
          <w:sz w:val="20"/>
        </w:rPr>
        <w:t>zero exceptions</w:t>
      </w:r>
      <w:r>
        <w:rPr>
          <w:rFonts w:ascii="Times New Roman" w:hAnsi="Times New Roman"/>
          <w:b w:val="0"/>
          <w:i w:val="0"/>
          <w:sz w:val="20"/>
        </w:rPr>
        <w:t xml:space="preserve"> across three lineages and nine cells. </w:t>
      </w:r>
      <w:r>
        <w:rPr>
          <w:rFonts w:ascii="Times New Roman" w:hAnsi="Times New Roman"/>
          <w:b/>
          <w:i w:val="0"/>
          <w:sz w:val="20"/>
        </w:rPr>
        <w:t>The ordering is the surviving quantity</w:t>
      </w:r>
      <w:r>
        <w:rPr>
          <w:rFonts w:ascii="Times New Roman" w:hAnsi="Times New Roman"/>
          <w:b w:val="0"/>
          <w:i w:val="0"/>
          <w:sz w:val="20"/>
        </w:rPr>
        <w:t xml:space="preserve"> within the level sets and calibers measured here: </w:t>
      </w:r>
      <w:r>
        <w:rPr>
          <w:rFonts w:ascii="Times New Roman" w:hAnsi="Times New Roman"/>
          <w:b/>
          <w:i w:val="0"/>
          <w:sz w:val="20"/>
        </w:rPr>
        <w:t>quote a magnitude only with its grid density and caliber.</w:t>
      </w:r>
      <w:r>
        <w:rPr>
          <w:rFonts w:ascii="Times New Roman" w:hAnsi="Times New Roman"/>
          <w:b w:val="0"/>
          <w:i w:val="0"/>
          <w:sz w:val="20"/>
        </w:rPr>
        <w:t xml:space="preserve"> The ordering is descriptive, its magnitude candidate (Proposition 3) is a component of the definition and is withdrawn, and the ordering itself is measured, not assumed.</w:t>
      </w:r>
    </w:p>
    <w:p>
      <w:pPr>
        <w:pStyle w:val="Heading3"/>
      </w:pPr>
      <w:r>
        <w:rPr>
          <w:rFonts w:ascii="Times New Roman" w:hAnsi="Times New Roman"/>
          <w:b/>
          <w:i w:val="0"/>
          <w:sz w:val="20"/>
        </w:rPr>
        <w:t>7.4 The high response of the detector threshold is domain-conditional</w:t>
      </w:r>
    </w:p>
    <w:p>
      <w:r>
        <w:rPr>
          <w:rFonts w:ascii="Times New Roman" w:hAnsi="Times New Roman"/>
          <w:b w:val="0"/>
          <w:i w:val="0"/>
          <w:sz w:val="20"/>
        </w:rPr>
        <w:t xml:space="preserve">The detector threshold is the largest-response knob, but its authority is </w:t>
      </w:r>
      <w:r>
        <w:rPr>
          <w:rFonts w:ascii="Times New Roman" w:hAnsi="Times New Roman"/>
          <w:b/>
          <w:i w:val="0"/>
          <w:sz w:val="20"/>
        </w:rPr>
        <w:t>domain-conditional</w:t>
      </w:r>
      <w:r>
        <w:rPr>
          <w:rFonts w:ascii="Times New Roman" w:hAnsi="Times New Roman"/>
          <w:b w:val="0"/>
          <w:i w:val="0"/>
          <w:sz w:val="20"/>
        </w:rPr>
        <w:t xml:space="preserve">: in the aerial domain the full in-domain ladder moves ρ across the whole span, whereas in dense-crowd domains </w:t>
      </w:r>
      <w:r>
        <w:rPr>
          <w:rFonts w:ascii="Times New Roman" w:hAnsi="Times New Roman"/>
          <w:b/>
          <w:i w:val="0"/>
          <w:sz w:val="20"/>
        </w:rPr>
        <w:t>no tested lineage, tiling or grid reaches `pred/gt ≥ 1` at any threshold</w:t>
      </w:r>
      <w:r>
        <w:rPr>
          <w:rFonts w:ascii="Times New Roman" w:hAnsi="Times New Roman"/>
          <w:b w:val="0"/>
          <w:i w:val="0"/>
          <w:sz w:val="20"/>
        </w:rPr>
        <w:t xml:space="preserve">, the span collapsing near the noise floor; the same architecture and knob give a </w:t>
      </w:r>
      <w:r>
        <w:rPr>
          <w:rFonts w:ascii="Times New Roman" w:hAnsi="Times New Roman"/>
          <w:b/>
          <w:i w:val="0"/>
          <w:sz w:val="20"/>
        </w:rPr>
        <w:t>3.5×</w:t>
      </w:r>
      <w:r>
        <w:rPr>
          <w:rFonts w:ascii="Times New Roman" w:hAnsi="Times New Roman"/>
          <w:b w:val="0"/>
          <w:i w:val="0"/>
          <w:sz w:val="20"/>
        </w:rPr>
        <w:t xml:space="preserve"> smaller span under a training-domain swap alone (Appendix M.8).</w:t>
      </w:r>
    </w:p>
    <w:p>
      <w:pPr>
        <w:pStyle w:val="Heading3"/>
      </w:pPr>
      <w:r>
        <w:rPr>
          <w:rFonts w:ascii="Times New Roman" w:hAnsi="Times New Roman"/>
          <w:b/>
          <w:i w:val="0"/>
          <w:sz w:val="20"/>
        </w:rPr>
        <w:t>7.5 Language-side contracts: channel independence, and one excluded branch</w:t>
      </w:r>
    </w:p>
    <w:p>
      <w:r>
        <w:rPr>
          <w:rFonts w:ascii="Times New Roman" w:hAnsi="Times New Roman"/>
          <w:b w:val="0"/>
          <w:i w:val="0"/>
          <w:sz w:val="20"/>
        </w:rPr>
        <w:t xml:space="preserve">Two facts survive (per-arm numbers are labelled by model × domain × contract arm × convention, and each is a pooled relative deviation on the common item intersection; Appendix G.1). </w:t>
      </w:r>
      <w:r>
        <w:rPr>
          <w:rFonts w:ascii="Times New Roman" w:hAnsi="Times New Roman"/>
          <w:b/>
          <w:i w:val="0"/>
          <w:sz w:val="20"/>
        </w:rPr>
        <w:t>`choice` rewrites the value without passing through abstention</w:t>
      </w:r>
      <w:r>
        <w:rPr>
          <w:rFonts w:ascii="Times New Roman" w:hAnsi="Times New Roman"/>
          <w:b w:val="0"/>
          <w:i w:val="0"/>
          <w:sz w:val="20"/>
        </w:rPr>
        <w:t xml:space="preserve">: it moves the relative deviation across zero while the abstention rate barely moves, and it works in dense domains too. One correction: on the </w:t>
      </w:r>
      <w:r>
        <w:rPr>
          <w:rFonts w:ascii="Times New Roman" w:hAnsi="Times New Roman"/>
          <w:b w:val="0"/>
          <w:i/>
          <w:sz w:val="20"/>
        </w:rPr>
        <w:t>choice</w:t>
      </w:r>
      <w:r>
        <w:rPr>
          <w:rFonts w:ascii="Times New Roman" w:hAnsi="Times New Roman"/>
          <w:b w:val="0"/>
          <w:i w:val="0"/>
          <w:sz w:val="20"/>
        </w:rPr>
        <w:t xml:space="preserve"> arm the 32B model shows a pooled deviation of only +0.9%, but the grid's value 50 sits close to that domain's median GT (50.5) and 46.6% of answers land on it — </w:t>
      </w:r>
      <w:r>
        <w:rPr>
          <w:rFonts w:ascii="Times New Roman" w:hAnsi="Times New Roman"/>
          <w:b/>
          <w:i w:val="0"/>
          <w:sz w:val="20"/>
        </w:rPr>
        <w:t>a property of the grid design, not calibration</w:t>
      </w:r>
      <w:r>
        <w:rPr>
          <w:rFonts w:ascii="Times New Roman" w:hAnsi="Times New Roman"/>
          <w:b w:val="0"/>
          <w:i w:val="0"/>
          <w:sz w:val="20"/>
        </w:rPr>
        <w:t>. (M.11)</w:t>
      </w:r>
    </w:p>
    <w:p>
      <w:pPr>
        <w:pStyle w:val="Heading3"/>
      </w:pPr>
      <w:r>
        <w:rPr>
          <w:rFonts w:ascii="Times New Roman" w:hAnsi="Times New Roman"/>
          <w:b/>
          <w:i w:val="0"/>
          <w:sz w:val="20"/>
        </w:rPr>
        <w:t>7.6 Three mechanism hypotheses, tested and excluded</w:t>
      </w:r>
    </w:p>
    <w:p>
      <w:r>
        <w:rPr>
          <w:rFonts w:ascii="Times New Roman" w:hAnsi="Times New Roman"/>
          <w:b/>
          <w:i w:val="0"/>
          <w:sz w:val="20"/>
        </w:rPr>
        <w:t>All three candidate explanations are excluded</w:t>
      </w:r>
      <w:r>
        <w:rPr>
          <w:rFonts w:ascii="Times New Roman" w:hAnsi="Times New Roman"/>
          <w:b w:val="0"/>
          <w:i w:val="0"/>
          <w:sz w:val="20"/>
        </w:rPr>
        <w:t xml:space="preserve"> (mediator, </w:t>
      </w:r>
      <w:r>
        <w:rPr>
          <w:rFonts w:ascii="Times New Roman" w:hAnsi="Times New Roman"/>
          <w:b w:val="0"/>
          <w:i/>
          <w:sz w:val="20"/>
        </w:rPr>
        <w:t>choice</w:t>
      </w:r>
      <w:r>
        <w:rPr>
          <w:rFonts w:ascii="Times New Roman" w:hAnsi="Times New Roman"/>
          <w:b w:val="0"/>
          <w:i w:val="0"/>
          <w:sz w:val="20"/>
        </w:rPr>
        <w:t xml:space="preserve">-rewriting, </w:t>
      </w:r>
      <w:r>
        <w:rPr>
          <w:rFonts w:ascii="Times New Roman" w:hAnsi="Times New Roman"/>
          <w:b w:val="0"/>
          <w:i/>
          <w:sz w:val="20"/>
        </w:rPr>
        <w:t>forbid0</w:t>
      </w:r>
      <w:r>
        <w:rPr>
          <w:rFonts w:ascii="Times New Roman" w:hAnsi="Times New Roman"/>
          <w:b w:val="0"/>
          <w:i w:val="0"/>
          <w:sz w:val="20"/>
        </w:rPr>
        <w:t xml:space="preserve">-conversion), so we treat the </w:t>
      </w:r>
      <w:r>
        <w:rPr>
          <w:rFonts w:ascii="Times New Roman" w:hAnsi="Times New Roman"/>
          <w:b w:val="0"/>
          <w:i/>
          <w:sz w:val="20"/>
        </w:rPr>
        <w:t>forbid0</w:t>
      </w:r>
      <w:r>
        <w:rPr>
          <w:rFonts w:ascii="Times New Roman" w:hAnsi="Times New Roman"/>
          <w:b w:val="0"/>
          <w:i w:val="0"/>
          <w:sz w:val="20"/>
        </w:rPr>
        <w:t xml:space="preserve"> mechanism as </w:t>
      </w:r>
      <w:r>
        <w:rPr>
          <w:rFonts w:ascii="Times New Roman" w:hAnsi="Times New Roman"/>
          <w:b/>
          <w:i w:val="0"/>
          <w:sz w:val="20"/>
        </w:rPr>
        <w:t>unresolved, not explained</w:t>
      </w:r>
      <w:r>
        <w:rPr>
          <w:rFonts w:ascii="Times New Roman" w:hAnsi="Times New Roman"/>
          <w:b w:val="0"/>
          <w:i w:val="0"/>
          <w:sz w:val="20"/>
        </w:rPr>
        <w:t xml:space="preserve"> (Appendix G.2); the tests and their per-arm numbers are in Appendix M.30.</w:t>
      </w:r>
    </w:p>
    <w:p>
      <w:pPr>
        <w:pStyle w:val="Heading3"/>
      </w:pPr>
      <w:r>
        <w:rPr>
          <w:rFonts w:ascii="Times New Roman" w:hAnsi="Times New Roman"/>
          <w:b/>
          <w:i w:val="0"/>
          <w:sz w:val="20"/>
        </w:rPr>
        <w:t>7.7 Deployment implications: what a user can and cannot have</w:t>
      </w:r>
    </w:p>
    <w:p>
      <w:r>
        <w:rPr>
          <w:rFonts w:ascii="Times New Roman" w:hAnsi="Times New Roman"/>
          <w:b w:val="0"/>
          <w:i w:val="0"/>
          <w:sz w:val="20"/>
        </w:rPr>
        <w:t xml:space="preserve">The legibility score can be read as a criterion for </w:t>
      </w:r>
      <w:r>
        <w:rPr>
          <w:rFonts w:ascii="Times New Roman" w:hAnsi="Times New Roman"/>
          <w:b/>
          <w:i w:val="0"/>
          <w:sz w:val="20"/>
        </w:rPr>
        <w:t>"is this input still inside the model's nominal operating range?"</w:t>
      </w:r>
      <w:r>
        <w:rPr>
          <w:rFonts w:ascii="Times New Roman" w:hAnsi="Times New Roman"/>
          <w:b w:val="0"/>
          <w:i w:val="0"/>
          <w:sz w:val="20"/>
        </w:rPr>
        <w:t xml:space="preserve"> — a requirement forming independently in the perception literature, where detectors fail silently under blur, noise, compression and resolution change ([49]–[50]). </w:t>
      </w:r>
      <w:r>
        <w:rPr>
          <w:rFonts w:ascii="Times New Roman" w:hAnsi="Times New Roman"/>
          <w:b/>
          <w:i w:val="0"/>
          <w:sz w:val="20"/>
        </w:rPr>
        <w:t>Legibility can decide whether to answer; changing the direction requires changing the protocol, the prompt, or the family.</w:t>
      </w:r>
      <w:r>
        <w:rPr>
          <w:rFonts w:ascii="Times New Roman" w:hAnsi="Times New Roman"/>
          <w:b w:val="0"/>
          <w:i w:val="0"/>
          <w:sz w:val="20"/>
        </w:rPr>
        <w:t xml:space="preserve"> It is an </w:t>
      </w:r>
      <w:r>
        <w:rPr>
          <w:rFonts w:ascii="Times New Roman" w:hAnsi="Times New Roman"/>
          <w:b/>
          <w:i w:val="0"/>
          <w:sz w:val="20"/>
        </w:rPr>
        <w:t>analytical diagnostic</w:t>
      </w:r>
      <w:r>
        <w:rPr>
          <w:rFonts w:ascii="Times New Roman" w:hAnsi="Times New Roman"/>
          <w:b w:val="0"/>
          <w:i w:val="0"/>
          <w:sz w:val="20"/>
        </w:rPr>
        <w:t xml:space="preserve">, not a reporting or gating rule — it needs annotation boxes, so the </w:t>
      </w:r>
      <w:r>
        <w:rPr>
          <w:rFonts w:ascii="Times New Roman" w:hAnsi="Times New Roman"/>
          <w:b/>
          <w:i w:val="0"/>
          <w:sz w:val="20"/>
        </w:rPr>
        <w:t>adoption recipe</w:t>
      </w:r>
      <w:r>
        <w:rPr>
          <w:rFonts w:ascii="Times New Roman" w:hAnsi="Times New Roman"/>
          <w:b w:val="0"/>
          <w:i w:val="0"/>
          <w:sz w:val="20"/>
        </w:rPr>
        <w:t xml:space="preserve"> for a third party with none is in Appendix M.22. The three annotation-free signals (cross-scale, cross-phrasing, cross-family agreement) were tested on </w:t>
      </w:r>
      <w:r>
        <w:rPr>
          <w:rFonts w:ascii="Times New Roman" w:hAnsi="Times New Roman"/>
          <w:b/>
          <w:i w:val="0"/>
          <w:sz w:val="20"/>
        </w:rPr>
        <w:t>45</w:t>
      </w:r>
      <w:r>
        <w:rPr>
          <w:rFonts w:ascii="Times New Roman" w:hAnsi="Times New Roman"/>
          <w:b w:val="0"/>
          <w:i w:val="0"/>
          <w:sz w:val="20"/>
        </w:rPr>
        <w:t xml:space="preserve"> (family × domain) cells against a bar fixed before the runs (AUC ≥ 0.65 </w:t>
      </w:r>
      <w:r>
        <w:rPr>
          <w:rFonts w:ascii="Times New Roman" w:hAnsi="Times New Roman"/>
          <w:b w:val="0"/>
          <w:i/>
          <w:sz w:val="20"/>
        </w:rPr>
        <w:t>and</w:t>
      </w:r>
      <w:r>
        <w:rPr>
          <w:rFonts w:ascii="Times New Roman" w:hAnsi="Times New Roman"/>
          <w:b w:val="0"/>
          <w:i w:val="0"/>
          <w:sz w:val="20"/>
        </w:rPr>
        <w:t xml:space="preserve"> the error on the most-agreeing 20% at ≤ 0.6× the overall error): </w:t>
      </w:r>
      <w:r>
        <w:rPr>
          <w:rFonts w:ascii="Times New Roman" w:hAnsi="Times New Roman"/>
          <w:b/>
          <w:i w:val="0"/>
          <w:sz w:val="20"/>
        </w:rPr>
        <w:t>1 of 45 passes</w:t>
      </w:r>
      <w:r>
        <w:rPr>
          <w:rFonts w:ascii="Times New Roman" w:hAnsi="Times New Roman"/>
          <w:b w:val="0"/>
          <w:i w:val="0"/>
          <w:sz w:val="20"/>
        </w:rPr>
        <w:t xml:space="preserve">, and in the aerial domains the agreement signals are </w:t>
      </w:r>
      <w:r>
        <w:rPr>
          <w:rFonts w:ascii="Times New Roman" w:hAnsi="Times New Roman"/>
          <w:b w:val="0"/>
          <w:i/>
          <w:sz w:val="20"/>
        </w:rPr>
        <w:t>anti</w:t>
      </w:r>
      <w:r>
        <w:rPr>
          <w:rFonts w:ascii="Times New Roman" w:hAnsi="Times New Roman"/>
          <w:b w:val="0"/>
          <w:i w:val="0"/>
          <w:sz w:val="20"/>
        </w:rPr>
        <w:t xml:space="preserve">-correlated with error, because the other models share the same domain-specific bias. Quality, like abstention (Proposition 1), is therefore </w:t>
      </w:r>
      <w:r>
        <w:rPr>
          <w:rFonts w:ascii="Times New Roman" w:hAnsi="Times New Roman"/>
          <w:b/>
          <w:i w:val="0"/>
          <w:sz w:val="20"/>
        </w:rPr>
        <w:t>not identified by the three tested output-level signals</w:t>
      </w:r>
      <w:r>
        <w:rPr>
          <w:rFonts w:ascii="Times New Roman" w:hAnsi="Times New Roman"/>
          <w:b w:val="0"/>
          <w:i w:val="0"/>
          <w:sz w:val="20"/>
        </w:rPr>
        <w:t xml:space="preserve"> (Appendices M.23, M.14).</w:t>
      </w:r>
    </w:p>
    <w:p>
      <w:pPr>
        <w:pStyle w:val="Heading3"/>
      </w:pPr>
      <w:r>
        <w:rPr>
          <w:rFonts w:ascii="Times New Roman" w:hAnsi="Times New Roman"/>
          <w:b/>
          <w:i w:val="0"/>
          <w:sz w:val="20"/>
        </w:rPr>
        <w:t>7.8 Enumeration versus regression: what this corpus measures</w:t>
      </w:r>
    </w:p>
    <w:p>
      <w:r>
        <w:rPr>
          <w:rFonts w:ascii="Times New Roman" w:hAnsi="Times New Roman"/>
          <w:b w:val="0"/>
          <w:i w:val="0"/>
          <w:sz w:val="20"/>
        </w:rPr>
        <w:t>Enumeration-style counting is more directionally controllable than regression-style counting on this corpus: the regress-then-round pipelines we test lose the property being measured. (Appendix M.26)</w:t>
      </w:r>
    </w:p>
    <w:p>
      <w:pPr>
        <w:pStyle w:val="Heading3"/>
      </w:pPr>
      <w:r>
        <w:rPr>
          <w:rFonts w:ascii="Times New Roman" w:hAnsi="Times New Roman"/>
          <w:b/>
          <w:i w:val="0"/>
          <w:sz w:val="20"/>
        </w:rPr>
        <w:t>7.9 An adoptable protocol, released as running code</w:t>
      </w:r>
    </w:p>
    <w:p>
      <w:r>
        <w:rPr>
          <w:rFonts w:ascii="Times New Roman" w:hAnsi="Times New Roman"/>
          <w:b w:val="0"/>
          <w:i w:val="0"/>
          <w:sz w:val="20"/>
        </w:rPr>
        <w:t xml:space="preserve">The transferable object is a </w:t>
      </w:r>
      <w:r>
        <w:rPr>
          <w:rFonts w:ascii="Times New Roman" w:hAnsi="Times New Roman"/>
          <w:b/>
          <w:i w:val="0"/>
          <w:sz w:val="20"/>
        </w:rPr>
        <w:t>protocol</w:t>
      </w:r>
      <w:r>
        <w:rPr>
          <w:rFonts w:ascii="Times New Roman" w:hAnsi="Times New Roman"/>
          <w:b w:val="0"/>
          <w:i w:val="0"/>
          <w:sz w:val="20"/>
        </w:rPr>
        <w:t xml:space="preserve">, not a finding: </w:t>
      </w:r>
      <w:r>
        <w:rPr>
          <w:rFonts w:ascii="Times New Roman" w:hAnsi="Times New Roman"/>
          <w:b w:val="0"/>
          <w:i/>
          <w:sz w:val="20"/>
        </w:rPr>
        <w:t>adopt_contract_probe.py</w:t>
      </w:r>
      <w:r>
        <w:rPr>
          <w:rFonts w:ascii="Times New Roman" w:hAnsi="Times New Roman"/>
          <w:b w:val="0"/>
          <w:i w:val="0"/>
          <w:sz w:val="20"/>
        </w:rPr>
        <w:t xml:space="preserve"> runs the three arms against any OpenAI-compatible endpoint given only images — no dependency on our corpora, annotations or detectors, and prompt texts byte-identical to the census probe — and </w:t>
      </w:r>
      <w:r>
        <w:rPr>
          <w:rFonts w:ascii="Times New Roman" w:hAnsi="Times New Roman"/>
          <w:b w:val="0"/>
          <w:i/>
          <w:sz w:val="20"/>
        </w:rPr>
        <w:t>adopt_report.py</w:t>
      </w:r>
      <w:r>
        <w:rPr>
          <w:rFonts w:ascii="Times New Roman" w:hAnsi="Times New Roman"/>
          <w:b w:val="0"/>
          <w:i w:val="0"/>
          <w:sz w:val="20"/>
        </w:rPr>
        <w:t xml:space="preserve"> prints the </w:t>
      </w:r>
      <w:r>
        <w:rPr>
          <w:rFonts w:ascii="Times New Roman" w:hAnsi="Times New Roman"/>
          <w:b/>
          <w:i w:val="0"/>
          <w:sz w:val="20"/>
        </w:rPr>
        <w:t>channel diagnosis</w:t>
      </w:r>
      <w:r>
        <w:rPr>
          <w:rFonts w:ascii="Times New Roman" w:hAnsi="Times New Roman"/>
          <w:b w:val="0"/>
          <w:i w:val="0"/>
          <w:sz w:val="20"/>
        </w:rPr>
        <w:t xml:space="preserve"> with its Wilson interval and the </w:t>
      </w:r>
      <w:r>
        <w:rPr>
          <w:rFonts w:ascii="Times New Roman" w:hAnsi="Times New Roman"/>
          <w:b/>
          <w:i w:val="0"/>
          <w:sz w:val="20"/>
        </w:rPr>
        <w:t>item-answered fraction</w:t>
      </w:r>
      <w:r>
        <w:rPr>
          <w:rFonts w:ascii="Times New Roman" w:hAnsi="Times New Roman"/>
          <w:b w:val="0"/>
          <w:i w:val="0"/>
          <w:sz w:val="20"/>
        </w:rPr>
        <w:t xml:space="preserve"> q_A (not Proposition 4's ground-truth-weighted w); the two deviations need reference counts on the same scored subset, so without them only that diagnosis is licensed. Records are kept only for completely paired inputs: the base arm's zero set is the denominator for every arm, and a missing arm reads as an undecidable partial, not a dropped denominator (M.22). Released API summaries give the checks only; the per-call records and the driver that lets one rebuild them ship with the package (M.11.2, M.37). The thresholds are frozen in </w:t>
      </w:r>
      <w:r>
        <w:rPr>
          <w:rFonts w:ascii="Times New Roman" w:hAnsi="Times New Roman"/>
          <w:b w:val="0"/>
          <w:i/>
          <w:sz w:val="20"/>
        </w:rPr>
        <w:t>adopt_criteria.json</w:t>
      </w:r>
      <w:r>
        <w:rPr>
          <w:rFonts w:ascii="Times New Roman" w:hAnsi="Times New Roman"/>
          <w:b w:val="0"/>
          <w:i w:val="0"/>
          <w:sz w:val="20"/>
        </w:rPr>
        <w:t xml:space="preserve"> (residual ≤5% read from the point estimate — several cells rest on 2–25 items, so their upper bounds are wide: direction readings, M.46(a) ⇒ contract-set; &gt;30% ⇒ record a counterexample and retry with the three-option wording; below the 7 pp noise floor ⇒ immaterial). Adoption costs one serving session and yields the two quantities §5.3–§5.13 turn on, making these comparisons reproducible elsewhere (M.22). In a first independent use it was run, unchanged, on two corpora whose recipe residual had never been reported including a large unconstrained dense-crowd release (JHU-CROWD++ [51]), with the criteria fixed before the runs (Appendix M.46).</w:t>
      </w:r>
    </w:p>
    <w:p>
      <w:pPr>
        <w:pStyle w:val="Heading2"/>
      </w:pPr>
      <w:r>
        <w:rPr>
          <w:rFonts w:ascii="Times New Roman" w:hAnsi="Times New Roman"/>
          <w:b/>
          <w:i w:val="0"/>
          <w:sz w:val="24"/>
        </w:rPr>
        <w:t>8. Limitations</w:t>
      </w:r>
    </w:p>
    <w:p>
      <w:r>
        <w:rPr>
          <w:rFonts w:ascii="Times New Roman" w:hAnsi="Times New Roman"/>
          <w:b/>
          <w:i w:val="0"/>
          <w:sz w:val="20"/>
        </w:rPr>
        <w:t>The latent state behind an answered zero is not identified from the output.</w:t>
      </w:r>
      <w:r>
        <w:rPr>
          <w:rFonts w:ascii="Times New Roman" w:hAnsi="Times New Roman"/>
          <w:b w:val="0"/>
          <w:i w:val="0"/>
          <w:sz w:val="20"/>
        </w:rPr>
        <w:t xml:space="preserve"> </w:t>
      </w:r>
      <w:r>
        <w:rPr>
          <w:rFonts w:ascii="Times New Roman" w:hAnsi="Times New Roman"/>
          <w:b/>
          <w:i w:val="0"/>
          <w:sz w:val="20"/>
        </w:rPr>
        <w:t>Pooled and single-build calibers are not interchangeable.</w:t>
      </w:r>
      <w:r>
        <w:rPr>
          <w:rFonts w:ascii="Times New Roman" w:hAnsi="Times New Roman"/>
          <w:b w:val="0"/>
          <w:i w:val="0"/>
          <w:sz w:val="20"/>
        </w:rPr>
        <w:t xml:space="preserve"> </w:t>
      </w:r>
      <w:r>
        <w:rPr>
          <w:rFonts w:ascii="Times New Roman" w:hAnsi="Times New Roman"/>
          <w:b/>
          <w:i w:val="0"/>
          <w:sz w:val="20"/>
        </w:rPr>
        <w:t>The frozen direction criterion is not pinned in sign.</w:t>
      </w:r>
      <w:r>
        <w:rPr>
          <w:rFonts w:ascii="Times New Roman" w:hAnsi="Times New Roman"/>
          <w:b w:val="0"/>
          <w:i w:val="0"/>
          <w:sz w:val="20"/>
        </w:rPr>
        <w:t xml:space="preserve"> </w:t>
      </w:r>
      <w:r>
        <w:rPr>
          <w:rFonts w:ascii="Times New Roman" w:hAnsi="Times New Roman"/>
          <w:b/>
          <w:i w:val="0"/>
          <w:sz w:val="20"/>
        </w:rPr>
        <w:t>Some experiments rest on a single service start or a single arm.</w:t>
      </w:r>
      <w:r>
        <w:rPr>
          <w:rFonts w:ascii="Times New Roman" w:hAnsi="Times New Roman"/>
          <w:b w:val="0"/>
          <w:i w:val="0"/>
          <w:sz w:val="20"/>
        </w:rPr>
        <w:t xml:space="preserve"> </w:t>
      </w:r>
      <w:r>
        <w:rPr>
          <w:rFonts w:ascii="Times New Roman" w:hAnsi="Times New Roman"/>
          <w:b/>
          <w:i w:val="0"/>
          <w:sz w:val="20"/>
        </w:rPr>
        <w:t>The rendered domain is not a public benchmark.</w:t>
      </w:r>
      <w:r>
        <w:rPr>
          <w:rFonts w:ascii="Times New Roman" w:hAnsi="Times New Roman"/>
          <w:b w:val="0"/>
          <w:i w:val="0"/>
          <w:sz w:val="20"/>
        </w:rPr>
        <w:t xml:space="preserve"> </w:t>
      </w:r>
      <w:r>
        <w:rPr>
          <w:rFonts w:ascii="Times New Roman" w:hAnsi="Times New Roman"/>
          <w:b/>
          <w:i w:val="0"/>
          <w:sz w:val="20"/>
        </w:rPr>
        <w:t>Precision of the zero channel is not identifiable without a ground-truth-zero domain.</w:t>
      </w:r>
      <w:r>
        <w:rPr>
          <w:rFonts w:ascii="Times New Roman" w:hAnsi="Times New Roman"/>
          <w:b w:val="0"/>
          <w:i w:val="0"/>
          <w:sz w:val="20"/>
        </w:rPr>
        <w:t xml:space="preserve"> </w:t>
      </w:r>
      <w:r>
        <w:rPr>
          <w:rFonts w:ascii="Times New Roman" w:hAnsi="Times New Roman"/>
          <w:b/>
          <w:i w:val="0"/>
          <w:sz w:val="20"/>
        </w:rPr>
        <w:t>Every frequency claim stays bounded by the lineage, the build and the domain.</w:t>
      </w:r>
    </w:p>
    <w:p>
      <w:pPr>
        <w:pStyle w:val="Heading3"/>
      </w:pPr>
      <w:r>
        <w:rPr>
          <w:rFonts w:ascii="Times New Roman" w:hAnsi="Times New Roman"/>
          <w:b/>
          <w:i w:val="0"/>
          <w:sz w:val="20"/>
        </w:rPr>
        <w:t>8.1 Disclosure of measurement fragility</w:t>
      </w:r>
    </w:p>
    <w:p>
      <w:r>
        <w:rPr>
          <w:rFonts w:ascii="Times New Roman" w:hAnsi="Times New Roman"/>
          <w:b w:val="0"/>
          <w:i w:val="0"/>
          <w:sz w:val="20"/>
        </w:rPr>
        <w:t xml:space="preserve">Seven counts of measurement fragility are itemised with item-level impact in </w:t>
      </w:r>
      <w:r>
        <w:rPr>
          <w:rFonts w:ascii="Times New Roman" w:hAnsi="Times New Roman"/>
          <w:b/>
          <w:i w:val="0"/>
          <w:sz w:val="20"/>
        </w:rPr>
        <w:t>Appendix M.32</w:t>
      </w:r>
      <w:r>
        <w:rPr>
          <w:rFonts w:ascii="Times New Roman" w:hAnsi="Times New Roman"/>
          <w:b w:val="0"/>
          <w:i w:val="0"/>
          <w:sz w:val="20"/>
        </w:rPr>
        <w:t xml:space="preserve">: </w:t>
      </w:r>
      <w:r>
        <w:rPr>
          <w:rFonts w:ascii="Times New Roman" w:hAnsi="Times New Roman"/>
          <w:b/>
          <w:i w:val="0"/>
          <w:sz w:val="20"/>
        </w:rPr>
        <w:t>Two runner defects</w:t>
      </w:r>
      <w:r>
        <w:rPr>
          <w:rFonts w:ascii="Times New Roman" w:hAnsi="Times New Roman"/>
          <w:b w:val="0"/>
          <w:i w:val="0"/>
          <w:sz w:val="20"/>
        </w:rPr>
        <w:t xml:space="preserve"> and, separately, a dead parse branch; </w:t>
      </w:r>
      <w:r>
        <w:rPr>
          <w:rFonts w:ascii="Times New Roman" w:hAnsi="Times New Roman"/>
          <w:b/>
          <w:i w:val="0"/>
          <w:sz w:val="20"/>
        </w:rPr>
        <w:t>Run-to-run non-determinism</w:t>
      </w:r>
      <w:r>
        <w:rPr>
          <w:rFonts w:ascii="Times New Roman" w:hAnsi="Times New Roman"/>
          <w:b w:val="0"/>
          <w:i w:val="0"/>
          <w:sz w:val="20"/>
        </w:rPr>
        <w:t xml:space="preserve">, characterised below; </w:t>
      </w:r>
      <w:r>
        <w:rPr>
          <w:rFonts w:ascii="Times New Roman" w:hAnsi="Times New Roman"/>
          <w:b/>
          <w:i w:val="0"/>
          <w:sz w:val="20"/>
        </w:rPr>
        <w:t>Graded isolation</w:t>
      </w:r>
      <w:r>
        <w:rPr>
          <w:rFonts w:ascii="Times New Roman" w:hAnsi="Times New Roman"/>
          <w:b w:val="0"/>
          <w:i w:val="0"/>
          <w:sz w:val="20"/>
        </w:rPr>
        <w:t xml:space="preserve">, with a residue ledger and </w:t>
      </w:r>
      <w:r>
        <w:rPr>
          <w:rFonts w:ascii="Times New Roman" w:hAnsi="Times New Roman"/>
          <w:b/>
          <w:i w:val="0"/>
          <w:sz w:val="20"/>
        </w:rPr>
        <w:t>a census of anomalous predictions</w:t>
      </w:r>
      <w:r>
        <w:rPr>
          <w:rFonts w:ascii="Times New Roman" w:hAnsi="Times New Roman"/>
          <w:b w:val="0"/>
          <w:i w:val="0"/>
          <w:sz w:val="20"/>
        </w:rPr>
        <w:t xml:space="preserve">; </w:t>
      </w:r>
      <w:r>
        <w:rPr>
          <w:rFonts w:ascii="Times New Roman" w:hAnsi="Times New Roman"/>
          <w:b/>
          <w:i w:val="0"/>
          <w:sz w:val="20"/>
        </w:rPr>
        <w:t>No attention-based criterion</w:t>
      </w:r>
      <w:r>
        <w:rPr>
          <w:rFonts w:ascii="Times New Roman" w:hAnsi="Times New Roman"/>
          <w:b w:val="0"/>
          <w:i w:val="0"/>
          <w:sz w:val="20"/>
        </w:rPr>
        <w:t xml:space="preserve">; and </w:t>
      </w:r>
      <w:r>
        <w:rPr>
          <w:rFonts w:ascii="Times New Roman" w:hAnsi="Times New Roman"/>
          <w:b/>
          <w:i w:val="0"/>
          <w:sz w:val="20"/>
        </w:rPr>
        <w:t>Per-cell intervals are lower bounds</w:t>
      </w:r>
      <w:r>
        <w:rPr>
          <w:rFonts w:ascii="Times New Roman" w:hAnsi="Times New Roman"/>
          <w:b w:val="0"/>
          <w:i w:val="0"/>
          <w:sz w:val="20"/>
        </w:rPr>
        <w:t xml:space="preserve">, the across-repeat term exceeding the interval width by roughly a factor of two where levels are few (§A.2). No aggregate above depends on the affected runs (§3.7, §5.1). The aggregate change in ME is within </w:t>
      </w:r>
      <w:r>
        <w:rPr>
          <w:rFonts w:ascii="Times New Roman" w:hAnsi="Times New Roman"/>
          <w:b/>
          <w:i w:val="0"/>
          <w:sz w:val="20"/>
        </w:rPr>
        <w:t>0.19</w:t>
      </w:r>
      <w:r>
        <w:rPr>
          <w:rFonts w:ascii="Times New Roman" w:hAnsi="Times New Roman"/>
          <w:b w:val="0"/>
          <w:i w:val="0"/>
          <w:sz w:val="20"/>
        </w:rPr>
        <w:t xml:space="preserve"> counts, and where the corpus contains an independent re-run the aggregate ρ differs by at most </w:t>
      </w:r>
      <w:r>
        <w:rPr>
          <w:rFonts w:ascii="Times New Roman" w:hAnsi="Times New Roman"/>
          <w:b/>
          <w:i w:val="0"/>
          <w:sz w:val="20"/>
        </w:rPr>
        <w:t>0.81 pp</w:t>
      </w:r>
      <w:r>
        <w:rPr>
          <w:rFonts w:ascii="Times New Roman" w:hAnsi="Times New Roman"/>
          <w:b w:val="0"/>
          <w:i w:val="0"/>
          <w:sz w:val="20"/>
        </w:rPr>
        <w:t xml:space="preserve"> across the six such pairs. Item-level claims are made only on our own stack: local stacks at batch ≤ 2 reproduce exactly, hosted endpoints do not (§A.3). Non-determinism is documented for LLM inference [52], [53] and for evaluation harnesses [54], [55].</w:t>
      </w:r>
    </w:p>
    <w:p>
      <w:pPr>
        <w:pStyle w:val="Heading3"/>
      </w:pPr>
      <w:r>
        <w:rPr>
          <w:rFonts w:ascii="Times New Roman" w:hAnsi="Times New Roman"/>
          <w:b/>
          <w:i w:val="0"/>
          <w:sz w:val="20"/>
        </w:rPr>
        <w:t>8.2 Scope limitations</w:t>
      </w:r>
    </w:p>
    <w:p>
      <w:r>
        <w:rPr>
          <w:rFonts w:ascii="Times New Roman" w:hAnsi="Times New Roman"/>
          <w:b/>
          <w:i w:val="0"/>
          <w:sz w:val="20"/>
        </w:rPr>
        <w:t>The optimal input fidelity was not located</w:t>
      </w:r>
      <w:r>
        <w:rPr>
          <w:rFonts w:ascii="Times New Roman" w:hAnsi="Times New Roman"/>
          <w:b w:val="0"/>
          <w:i w:val="0"/>
          <w:sz w:val="20"/>
        </w:rPr>
        <w:t xml:space="preserve">: whether </w:t>
      </w:r>
      <w:r>
        <w:rPr>
          <w:rFonts w:ascii="Times New Roman" w:hAnsi="Times New Roman"/>
          <w:b/>
          <w:i w:val="0"/>
          <w:sz w:val="20"/>
        </w:rPr>
        <w:t>increasing</w:t>
      </w:r>
      <w:r>
        <w:rPr>
          <w:rFonts w:ascii="Times New Roman" w:hAnsi="Times New Roman"/>
          <w:b w:val="0"/>
          <w:i w:val="0"/>
          <w:sz w:val="20"/>
        </w:rPr>
        <w:t xml:space="preserve"> fidelity beyond the native scale becomes harmful was not measured — a non-monotonicity existing work suggests may exist. </w:t>
      </w:r>
      <w:r>
        <w:rPr>
          <w:rFonts w:ascii="Times New Roman" w:hAnsi="Times New Roman"/>
          <w:b/>
          <w:i w:val="0"/>
          <w:sz w:val="20"/>
        </w:rPr>
        <w:t>The attribution boundary is behavioural, not anthropomorphic.</w:t>
      </w:r>
      <w:r>
        <w:rPr>
          <w:rFonts w:ascii="Times New Roman" w:hAnsi="Times New Roman"/>
          <w:b w:val="0"/>
          <w:i w:val="0"/>
          <w:sz w:val="20"/>
        </w:rPr>
        <w:t xml:space="preserve"> We read an answered zero as </w:t>
      </w:r>
      <w:r>
        <w:rPr>
          <w:rFonts w:ascii="Times New Roman" w:hAnsi="Times New Roman"/>
          <w:b/>
          <w:i w:val="0"/>
          <w:sz w:val="20"/>
        </w:rPr>
        <w:t>mode collapse</w:t>
      </w:r>
      <w:r>
        <w:rPr>
          <w:rFonts w:ascii="Times New Roman" w:hAnsi="Times New Roman"/>
          <w:b w:val="0"/>
          <w:i w:val="0"/>
          <w:sz w:val="20"/>
        </w:rPr>
        <w:t xml:space="preserve"> — output degenerating onto the mode or a prior integer — not as a human-like refusal, and claim nothing about intent; the operationalisation is stated so that it can be replaced. </w:t>
      </w:r>
      <w:r>
        <w:rPr>
          <w:rFonts w:ascii="Times New Roman" w:hAnsi="Times New Roman"/>
          <w:b/>
          <w:i w:val="0"/>
          <w:sz w:val="20"/>
        </w:rPr>
        <w:t>The detector lineage is narrow</w:t>
      </w:r>
      <w:r>
        <w:rPr>
          <w:rFonts w:ascii="Times New Roman" w:hAnsi="Times New Roman"/>
          <w:b w:val="0"/>
          <w:i w:val="0"/>
          <w:sz w:val="20"/>
        </w:rPr>
        <w:t xml:space="preserve">, resting on YOLO with RetinaNet and Faster R-CNN as secondary lineages; a broader sweep would establish whether §4.1's and §4.5's properties are family or architecture properties. The exemplar condition is measured on </w:t>
      </w:r>
      <w:r>
        <w:rPr>
          <w:rFonts w:ascii="Times New Roman" w:hAnsi="Times New Roman"/>
          <w:b/>
          <w:i w:val="0"/>
          <w:sz w:val="20"/>
        </w:rPr>
        <w:t>one benchmark, three boxes and six families</w:t>
      </w:r>
      <w:r>
        <w:rPr>
          <w:rFonts w:ascii="Times New Roman" w:hAnsi="Times New Roman"/>
          <w:b w:val="0"/>
          <w:i w:val="0"/>
          <w:sz w:val="20"/>
        </w:rPr>
        <w:t xml:space="preserve"> (§5.14), so it bounds the zero without mapping the few-shot counting family; its </w:t>
      </w:r>
      <w:r>
        <w:rPr>
          <w:rFonts w:ascii="Times New Roman" w:hAnsi="Times New Roman"/>
          <w:b/>
          <w:i w:val="0"/>
          <w:sz w:val="20"/>
        </w:rPr>
        <w:t>384-px</w:t>
      </w:r>
      <w:r>
        <w:rPr>
          <w:rFonts w:ascii="Times New Roman" w:hAnsi="Times New Roman"/>
          <w:b w:val="0"/>
          <w:i w:val="0"/>
          <w:sz w:val="20"/>
        </w:rPr>
        <w:t xml:space="preserve"> resolution is the release's own short-side constraint, and </w:t>
      </w:r>
      <w:r>
        <w:rPr>
          <w:rFonts w:ascii="Times New Roman" w:hAnsi="Times New Roman"/>
          <w:b/>
          <w:i w:val="0"/>
          <w:sz w:val="20"/>
        </w:rPr>
        <w:t>M.41</w:t>
      </w:r>
      <w:r>
        <w:rPr>
          <w:rFonts w:ascii="Times New Roman" w:hAnsi="Times New Roman"/>
          <w:b w:val="0"/>
          <w:i w:val="0"/>
          <w:sz w:val="20"/>
        </w:rPr>
        <w:t xml:space="preserve"> varies it (contract arms ≤ </w:t>
      </w:r>
      <w:r>
        <w:rPr>
          <w:rFonts w:ascii="Times New Roman" w:hAnsi="Times New Roman"/>
          <w:b/>
          <w:i w:val="0"/>
          <w:sz w:val="20"/>
        </w:rPr>
        <w:t>2.0 pp</w:t>
      </w:r>
      <w:r>
        <w:rPr>
          <w:rFonts w:ascii="Times New Roman" w:hAnsi="Times New Roman"/>
          <w:b w:val="0"/>
          <w:i w:val="0"/>
          <w:sz w:val="20"/>
        </w:rPr>
        <w:t xml:space="preserve">, exemplar abstention </w:t>
      </w:r>
      <w:r>
        <w:rPr>
          <w:rFonts w:ascii="Times New Roman" w:hAnsi="Times New Roman"/>
          <w:b/>
          <w:i w:val="0"/>
          <w:sz w:val="20"/>
        </w:rPr>
        <w:t>10.7 pp</w:t>
      </w:r>
      <w:r>
        <w:rPr>
          <w:rFonts w:ascii="Times New Roman" w:hAnsi="Times New Roman"/>
          <w:b w:val="0"/>
          <w:i w:val="0"/>
          <w:sz w:val="20"/>
        </w:rPr>
        <w:t xml:space="preserve"> across scales, </w:t>
      </w:r>
      <w:r>
        <w:rPr>
          <w:rFonts w:ascii="Times New Roman" w:hAnsi="Times New Roman"/>
          <w:b/>
          <w:i w:val="0"/>
          <w:sz w:val="20"/>
        </w:rPr>
        <w:t>11.0 pp</w:t>
      </w:r>
      <w:r>
        <w:rPr>
          <w:rFonts w:ascii="Times New Roman" w:hAnsi="Times New Roman"/>
          <w:b w:val="0"/>
          <w:i w:val="0"/>
          <w:sz w:val="20"/>
        </w:rPr>
        <w:t xml:space="preserve"> in one step). The three hosted endpoints are deployments we cannot pin to a build, so their numbers are dated, not frozen.</w:t>
      </w:r>
    </w:p>
    <w:p>
      <w:r>
        <w:rPr>
          <w:rFonts w:ascii="Times New Roman" w:hAnsi="Times New Roman"/>
          <w:b/>
          <w:i w:val="0"/>
          <w:sz w:val="20"/>
        </w:rPr>
        <w:t>The abstention interpretation rests on a two-channel assumption.</w:t>
      </w:r>
      <w:r>
        <w:rPr>
          <w:rFonts w:ascii="Times New Roman" w:hAnsi="Times New Roman"/>
          <w:b w:val="0"/>
          <w:i w:val="0"/>
          <w:sz w:val="20"/>
        </w:rPr>
        <w:t xml:space="preserve"> It is </w:t>
      </w:r>
      <w:r>
        <w:rPr>
          <w:rFonts w:ascii="Times New Roman" w:hAnsi="Times New Roman"/>
          <w:b/>
          <w:i w:val="0"/>
          <w:sz w:val="20"/>
        </w:rPr>
        <w:t>partly testable</w:t>
      </w:r>
      <w:r>
        <w:rPr>
          <w:rFonts w:ascii="Times New Roman" w:hAnsi="Times New Roman"/>
          <w:b w:val="0"/>
          <w:i w:val="0"/>
          <w:sz w:val="20"/>
        </w:rPr>
        <w:t xml:space="preserve">, and its observable part is tested (§5.7): the controls measure the way the outlets are </w:t>
      </w:r>
      <w:r>
        <w:rPr>
          <w:rFonts w:ascii="Times New Roman" w:hAnsi="Times New Roman"/>
          <w:b w:val="0"/>
          <w:i/>
          <w:sz w:val="20"/>
        </w:rPr>
        <w:t>used</w:t>
      </w:r>
      <w:r>
        <w:rPr>
          <w:rFonts w:ascii="Times New Roman" w:hAnsi="Times New Roman"/>
          <w:b w:val="0"/>
          <w:i w:val="0"/>
          <w:sz w:val="20"/>
        </w:rPr>
        <w:t xml:space="preserve"> on the pools we state, not whether every answered zero is latent abstention. The census </w:t>
      </w:r>
      <w:r>
        <w:rPr>
          <w:rFonts w:ascii="Times New Roman" w:hAnsi="Times New Roman"/>
          <w:b/>
          <w:i w:val="0"/>
          <w:sz w:val="20"/>
        </w:rPr>
        <w:t>holds the serving stack fixed</w:t>
      </w:r>
      <w:r>
        <w:rPr>
          <w:rFonts w:ascii="Times New Roman" w:hAnsi="Times New Roman"/>
          <w:b w:val="0"/>
          <w:i w:val="0"/>
          <w:sz w:val="20"/>
        </w:rPr>
        <w:t xml:space="preserve"> and varies the contract and build; three residual limits are in </w:t>
      </w:r>
      <w:r>
        <w:rPr>
          <w:rFonts w:ascii="Times New Roman" w:hAnsi="Times New Roman"/>
          <w:b/>
          <w:i w:val="0"/>
          <w:sz w:val="20"/>
        </w:rPr>
        <w:t>Appendix M.33</w:t>
      </w:r>
      <w:r>
        <w:rPr>
          <w:rFonts w:ascii="Times New Roman" w:hAnsi="Times New Roman"/>
          <w:b w:val="0"/>
          <w:i w:val="0"/>
          <w:sz w:val="20"/>
        </w:rPr>
        <w:t xml:space="preserve">. A </w:t>
      </w:r>
      <w:r>
        <w:rPr>
          <w:rFonts w:ascii="Times New Roman" w:hAnsi="Times New Roman"/>
          <w:b/>
          <w:i w:val="0"/>
          <w:sz w:val="20"/>
        </w:rPr>
        <w:t>true-zero control</w:t>
      </w:r>
      <w:r>
        <w:rPr>
          <w:rFonts w:ascii="Times New Roman" w:hAnsi="Times New Roman"/>
          <w:b w:val="0"/>
          <w:i w:val="0"/>
          <w:sz w:val="20"/>
        </w:rPr>
        <w:t xml:space="preserve"> bears on that condition: on </w:t>
      </w:r>
      <w:r>
        <w:rPr>
          <w:rFonts w:ascii="Times New Roman" w:hAnsi="Times New Roman"/>
          <w:b/>
          <w:i w:val="0"/>
          <w:sz w:val="20"/>
        </w:rPr>
        <w:t>306</w:t>
      </w:r>
      <w:r>
        <w:rPr>
          <w:rFonts w:ascii="Times New Roman" w:hAnsi="Times New Roman"/>
          <w:b w:val="0"/>
          <w:i w:val="0"/>
          <w:sz w:val="20"/>
        </w:rPr>
        <w:t xml:space="preserve"> crops whose correct answer is zero by the dataset's annotation, the three-way contract returns </w:t>
      </w:r>
      <w:r>
        <w:rPr>
          <w:rFonts w:ascii="Times New Roman" w:hAnsi="Times New Roman"/>
          <w:b w:val="0"/>
          <w:i/>
          <w:sz w:val="20"/>
        </w:rPr>
        <w:t>no_people</w:t>
      </w:r>
      <w:r>
        <w:rPr>
          <w:rFonts w:ascii="Times New Roman" w:hAnsi="Times New Roman"/>
          <w:b w:val="0"/>
          <w:i w:val="0"/>
          <w:sz w:val="20"/>
        </w:rPr>
        <w:t xml:space="preserve"> on </w:t>
      </w:r>
      <w:r>
        <w:rPr>
          <w:rFonts w:ascii="Times New Roman" w:hAnsi="Times New Roman"/>
          <w:b/>
          <w:i w:val="0"/>
          <w:sz w:val="20"/>
        </w:rPr>
        <w:t>47–87%</w:t>
      </w:r>
      <w:r>
        <w:rPr>
          <w:rFonts w:ascii="Times New Roman" w:hAnsi="Times New Roman"/>
          <w:b w:val="0"/>
          <w:i w:val="0"/>
          <w:sz w:val="20"/>
        </w:rPr>
        <w:t xml:space="preserve"> of easy-stratum items, whereas on dense items the census had answered zero the models return </w:t>
      </w:r>
      <w:r>
        <w:rPr>
          <w:rFonts w:ascii="Times New Roman" w:hAnsi="Times New Roman"/>
          <w:b w:val="0"/>
          <w:i/>
          <w:sz w:val="20"/>
        </w:rPr>
        <w:t>no_people</w:t>
      </w:r>
      <w:r>
        <w:rPr>
          <w:rFonts w:ascii="Times New Roman" w:hAnsi="Times New Roman"/>
          <w:b w:val="0"/>
          <w:i w:val="0"/>
          <w:sz w:val="20"/>
        </w:rPr>
        <w:t xml:space="preserve"> on </w:t>
      </w:r>
      <w:r>
        <w:rPr>
          <w:rFonts w:ascii="Times New Roman" w:hAnsi="Times New Roman"/>
          <w:b/>
          <w:i w:val="0"/>
          <w:sz w:val="20"/>
        </w:rPr>
        <w:t>0–1%</w:t>
      </w:r>
      <w:r>
        <w:rPr>
          <w:rFonts w:ascii="Times New Roman" w:hAnsi="Times New Roman"/>
          <w:b w:val="0"/>
          <w:i w:val="0"/>
          <w:sz w:val="20"/>
        </w:rPr>
        <w:t xml:space="preserve"> and </w:t>
      </w:r>
      <w:r>
        <w:rPr>
          <w:rFonts w:ascii="Times New Roman" w:hAnsi="Times New Roman"/>
          <w:b w:val="0"/>
          <w:i/>
          <w:sz w:val="20"/>
        </w:rPr>
        <w:t>cannot_judge</w:t>
      </w:r>
      <w:r>
        <w:rPr>
          <w:rFonts w:ascii="Times New Roman" w:hAnsi="Times New Roman"/>
          <w:b w:val="0"/>
          <w:i w:val="0"/>
          <w:sz w:val="20"/>
        </w:rPr>
        <w:t xml:space="preserve"> on </w:t>
      </w:r>
      <w:r>
        <w:rPr>
          <w:rFonts w:ascii="Times New Roman" w:hAnsi="Times New Roman"/>
          <w:b/>
          <w:i w:val="0"/>
          <w:sz w:val="20"/>
        </w:rPr>
        <w:t>98–100%</w:t>
      </w:r>
      <w:r>
        <w:rPr>
          <w:rFonts w:ascii="Times New Roman" w:hAnsi="Times New Roman"/>
          <w:b w:val="0"/>
          <w:i w:val="0"/>
          <w:sz w:val="20"/>
        </w:rPr>
        <w:t xml:space="preserve"> — </w:t>
      </w:r>
      <w:r>
        <w:rPr>
          <w:rFonts w:ascii="Times New Roman" w:hAnsi="Times New Roman"/>
          <w:b/>
          <w:i w:val="0"/>
          <w:sz w:val="20"/>
        </w:rPr>
        <w:t>sensitivity and specificity on stated pools</w:t>
      </w:r>
      <w:r>
        <w:rPr>
          <w:rFonts w:ascii="Times New Roman" w:hAnsi="Times New Roman"/>
          <w:b w:val="0"/>
          <w:i w:val="0"/>
          <w:sz w:val="20"/>
        </w:rPr>
        <w:t xml:space="preserve">, </w:t>
      </w:r>
      <w:r>
        <w:rPr>
          <w:rFonts w:ascii="Times New Roman" w:hAnsi="Times New Roman"/>
          <w:b/>
          <w:i w:val="0"/>
          <w:sz w:val="20"/>
        </w:rPr>
        <w:t>not</w:t>
      </w:r>
      <w:r>
        <w:rPr>
          <w:rFonts w:ascii="Times New Roman" w:hAnsi="Times New Roman"/>
          <w:b w:val="0"/>
          <w:i w:val="0"/>
          <w:sz w:val="20"/>
        </w:rPr>
        <w:t xml:space="preserve"> the channel's precision. </w:t>
      </w:r>
      <w:r>
        <w:rPr>
          <w:rFonts w:ascii="Times New Roman" w:hAnsi="Times New Roman"/>
          <w:b/>
          <w:i w:val="0"/>
          <w:sz w:val="20"/>
        </w:rPr>
        <w:t>On these pools answering zero is correct behaviour</w:t>
      </w:r>
      <w:r>
        <w:rPr>
          <w:rFonts w:ascii="Times New Roman" w:hAnsi="Times New Roman"/>
          <w:b w:val="0"/>
          <w:i w:val="0"/>
          <w:sz w:val="20"/>
        </w:rPr>
        <w:t xml:space="preserve">, so the control measures sensitivity and says nothing about the mixed corpus (§3.8; Appendices M.21, M.38, M.40). </w:t>
      </w:r>
      <w:r>
        <w:rPr>
          <w:rFonts w:ascii="Times New Roman" w:hAnsi="Times New Roman"/>
          <w:b/>
          <w:i w:val="0"/>
          <w:sz w:val="20"/>
        </w:rPr>
        <w:t>The corpus is dominated by one lineage, which bounds every frequency claim.</w:t>
      </w:r>
      <w:r>
        <w:rPr>
          <w:rFonts w:ascii="Times New Roman" w:hAnsi="Times New Roman"/>
          <w:b w:val="0"/>
          <w:i w:val="0"/>
          <w:sz w:val="20"/>
        </w:rPr>
        <w:t xml:space="preserve"> Most of the ~620k records come from the Qwen family, so the abstractions' frequency statements are claims about that family and the configurations measured alongside it, not about vision-language models in general. </w:t>
      </w:r>
      <w:r>
        <w:rPr>
          <w:rFonts w:ascii="Times New Roman" w:hAnsi="Times New Roman"/>
          <w:b/>
          <w:i w:val="0"/>
          <w:sz w:val="20"/>
        </w:rPr>
        <w:t>The contract result is not lineage-bound</w:t>
      </w:r>
      <w:r>
        <w:rPr>
          <w:rFonts w:ascii="Times New Roman" w:hAnsi="Times New Roman"/>
          <w:b w:val="0"/>
          <w:i w:val="0"/>
          <w:sz w:val="20"/>
        </w:rPr>
        <w:t xml:space="preserve">: on the public benchmark FSC-147 it holds in </w:t>
      </w:r>
      <w:r>
        <w:rPr>
          <w:rFonts w:ascii="Times New Roman" w:hAnsi="Times New Roman"/>
          <w:b/>
          <w:i w:val="0"/>
          <w:sz w:val="20"/>
        </w:rPr>
        <w:t>8 of 9 configurations</w:t>
      </w:r>
      <w:r>
        <w:rPr>
          <w:rFonts w:ascii="Times New Roman" w:hAnsi="Times New Roman"/>
          <w:b w:val="0"/>
          <w:i w:val="0"/>
          <w:sz w:val="20"/>
        </w:rPr>
        <w:t xml:space="preserve"> on the same </w:t>
      </w:r>
      <w:r>
        <w:rPr>
          <w:rFonts w:ascii="Times New Roman" w:hAnsi="Times New Roman"/>
          <w:b w:val="0"/>
          <w:i/>
          <w:sz w:val="20"/>
        </w:rPr>
        <w:t>instrument-as-is</w:t>
      </w:r>
      <w:r>
        <w:rPr>
          <w:rFonts w:ascii="Times New Roman" w:hAnsi="Times New Roman"/>
          <w:b w:val="0"/>
          <w:i w:val="0"/>
          <w:sz w:val="20"/>
        </w:rPr>
        <w:t xml:space="preserve"> panel (§5.13) — with the Qwen3-VL-32B build as the reported counterexample there. The abstention </w:t>
      </w:r>
      <w:r>
        <w:rPr>
          <w:rFonts w:ascii="Times New Roman" w:hAnsi="Times New Roman"/>
          <w:b w:val="0"/>
          <w:i/>
          <w:sz w:val="20"/>
        </w:rPr>
        <w:t>completeness</w:t>
      </w:r>
      <w:r>
        <w:rPr>
          <w:rFonts w:ascii="Times New Roman" w:hAnsi="Times New Roman"/>
          <w:b w:val="0"/>
          <w:i w:val="0"/>
          <w:sz w:val="20"/>
        </w:rPr>
        <w:t xml:space="preserve"> claim still rests on the Qwen family (κ = 550.6) and the smaller InternVL subset (1/(κ+1) =  </w:t>
      </w:r>
      <w:r>
        <w:rPr>
          <w:rFonts w:ascii="Times New Roman" w:hAnsi="Times New Roman"/>
          <w:b/>
          <w:i w:val="0"/>
          <w:sz w:val="20"/>
        </w:rPr>
        <w:t>30.31%</w:t>
      </w:r>
      <w:r>
        <w:rPr>
          <w:rFonts w:ascii="Times New Roman" w:hAnsi="Times New Roman"/>
          <w:b w:val="0"/>
          <w:i w:val="0"/>
          <w:sz w:val="20"/>
        </w:rPr>
        <w:t xml:space="preserve">). Every corpus-level rate was measured with </w:t>
      </w:r>
      <w:r>
        <w:rPr>
          <w:rFonts w:ascii="Times New Roman" w:hAnsi="Times New Roman"/>
          <w:b/>
          <w:i w:val="0"/>
          <w:sz w:val="20"/>
        </w:rPr>
        <w:t>Chinese</w:t>
      </w:r>
      <w:r>
        <w:rPr>
          <w:rFonts w:ascii="Times New Roman" w:hAnsi="Times New Roman"/>
          <w:b w:val="0"/>
          <w:i w:val="0"/>
          <w:sz w:val="20"/>
        </w:rPr>
        <w:t xml:space="preserve"> prompts, so we repeated the arms in a byte-frozen English rendering on the same items: the channel result is language-robust (</w:t>
      </w:r>
      <w:r>
        <w:rPr>
          <w:rFonts w:ascii="Times New Roman" w:hAnsi="Times New Roman"/>
          <w:b w:val="0"/>
          <w:i/>
          <w:sz w:val="20"/>
        </w:rPr>
        <w:t>no_people</w:t>
      </w:r>
      <w:r>
        <w:rPr>
          <w:rFonts w:ascii="Times New Roman" w:hAnsi="Times New Roman"/>
          <w:b w:val="0"/>
          <w:i w:val="0"/>
          <w:sz w:val="20"/>
        </w:rPr>
        <w:t xml:space="preserve"> differs by at most </w:t>
      </w:r>
      <w:r>
        <w:rPr>
          <w:rFonts w:ascii="Times New Roman" w:hAnsi="Times New Roman"/>
          <w:b/>
          <w:i w:val="0"/>
          <w:sz w:val="20"/>
        </w:rPr>
        <w:t>7.2 pp</w:t>
      </w:r>
      <w:r>
        <w:rPr>
          <w:rFonts w:ascii="Times New Roman" w:hAnsi="Times New Roman"/>
          <w:b w:val="0"/>
          <w:i w:val="0"/>
          <w:sz w:val="20"/>
        </w:rPr>
        <w:t xml:space="preserve">), but the answered-zero rate is not — the anchor lineage answers zero on </w:t>
      </w:r>
      <w:r>
        <w:rPr>
          <w:rFonts w:ascii="Times New Roman" w:hAnsi="Times New Roman"/>
          <w:b/>
          <w:i w:val="0"/>
          <w:sz w:val="20"/>
        </w:rPr>
        <w:t>60.2%</w:t>
      </w:r>
      <w:r>
        <w:rPr>
          <w:rFonts w:ascii="Times New Roman" w:hAnsi="Times New Roman"/>
          <w:b w:val="0"/>
          <w:i w:val="0"/>
          <w:sz w:val="20"/>
        </w:rPr>
        <w:t xml:space="preserve"> of the dense pool under Chinese and </w:t>
      </w:r>
      <w:r>
        <w:rPr>
          <w:rFonts w:ascii="Times New Roman" w:hAnsi="Times New Roman"/>
          <w:b/>
          <w:i w:val="0"/>
          <w:sz w:val="20"/>
        </w:rPr>
        <w:t>17.5%</w:t>
      </w:r>
      <w:r>
        <w:rPr>
          <w:rFonts w:ascii="Times New Roman" w:hAnsi="Times New Roman"/>
          <w:b w:val="0"/>
          <w:i w:val="0"/>
          <w:sz w:val="20"/>
        </w:rPr>
        <w:t xml:space="preserve"> under English, a </w:t>
      </w:r>
      <w:r>
        <w:rPr>
          <w:rFonts w:ascii="Times New Roman" w:hAnsi="Times New Roman"/>
          <w:b/>
          <w:i w:val="0"/>
          <w:sz w:val="20"/>
        </w:rPr>
        <w:t>42.7 pp</w:t>
      </w:r>
      <w:r>
        <w:rPr>
          <w:rFonts w:ascii="Times New Roman" w:hAnsi="Times New Roman"/>
          <w:b w:val="0"/>
          <w:i w:val="0"/>
          <w:sz w:val="20"/>
        </w:rPr>
        <w:t xml:space="preserve"> drop </w:t>
      </w:r>
      <w:r>
        <w:rPr>
          <w:rFonts w:ascii="Times New Roman" w:hAnsi="Times New Roman"/>
          <w:b/>
          <w:i w:val="0"/>
          <w:sz w:val="20"/>
        </w:rPr>
        <w:t>on the BF16 build</w:t>
      </w:r>
      <w:r>
        <w:rPr>
          <w:rFonts w:ascii="Times New Roman" w:hAnsi="Times New Roman"/>
          <w:b w:val="0"/>
          <w:i w:val="0"/>
          <w:sz w:val="20"/>
        </w:rPr>
        <w:t xml:space="preserve"> — a pooled dense-pool figure; the per-domain drops on the same build are </w:t>
      </w:r>
      <w:r>
        <w:rPr>
          <w:rFonts w:ascii="Times New Roman" w:hAnsi="Times New Roman"/>
          <w:b/>
          <w:i w:val="0"/>
          <w:sz w:val="20"/>
        </w:rPr>
        <w:t>18–22 pp</w:t>
      </w:r>
      <w:r>
        <w:rPr>
          <w:rFonts w:ascii="Times New Roman" w:hAnsi="Times New Roman"/>
          <w:b w:val="0"/>
          <w:i w:val="0"/>
          <w:sz w:val="20"/>
        </w:rPr>
        <w:t xml:space="preserve"> and come from a different item set (Appendix M.39). The §5.5 shares are scoped to the prompt language and the </w:t>
      </w:r>
      <w:r>
        <w:rPr>
          <w:rFonts w:ascii="Times New Roman" w:hAnsi="Times New Roman"/>
          <w:b/>
          <w:i w:val="0"/>
          <w:sz w:val="20"/>
        </w:rPr>
        <w:t>one anchor build</w:t>
      </w:r>
      <w:r>
        <w:rPr>
          <w:rFonts w:ascii="Times New Roman" w:hAnsi="Times New Roman"/>
          <w:b w:val="0"/>
          <w:i w:val="0"/>
          <w:sz w:val="20"/>
        </w:rPr>
        <w:t xml:space="preserve"> (</w:t>
      </w:r>
      <w:r>
        <w:rPr>
          <w:rFonts w:ascii="Times New Roman" w:hAnsi="Times New Roman"/>
          <w:b/>
          <w:i w:val="0"/>
          <w:sz w:val="20"/>
        </w:rPr>
        <w:t>the share holds at BF16, not the rate</w:t>
      </w:r>
      <w:r>
        <w:rPr>
          <w:rFonts w:ascii="Times New Roman" w:hAnsi="Times New Roman"/>
          <w:b w:val="0"/>
          <w:i w:val="0"/>
          <w:sz w:val="20"/>
        </w:rPr>
        <w:t xml:space="preserve">; eight of nine fall short — the ninth is that checkpoint at BF16; M.19.15). The true-zero pools differ by </w:t>
      </w:r>
      <w:r>
        <w:rPr>
          <w:rFonts w:ascii="Times New Roman" w:hAnsi="Times New Roman"/>
          <w:b/>
          <w:i w:val="0"/>
          <w:sz w:val="20"/>
        </w:rPr>
        <w:t>54.7 pp</w:t>
      </w:r>
      <w:r>
        <w:rPr>
          <w:rFonts w:ascii="Times New Roman" w:hAnsi="Times New Roman"/>
          <w:b w:val="0"/>
          <w:i w:val="0"/>
          <w:sz w:val="20"/>
        </w:rPr>
        <w:t xml:space="preserve">, so p≈1 is not transferable (Appendix M.21.9). Two further limits: the abstention </w:t>
      </w:r>
      <w:r>
        <w:rPr>
          <w:rFonts w:ascii="Times New Roman" w:hAnsi="Times New Roman"/>
          <w:b/>
          <w:i w:val="0"/>
          <w:sz w:val="20"/>
        </w:rPr>
        <w:t>share</w:t>
      </w:r>
      <w:r>
        <w:rPr>
          <w:rFonts w:ascii="Times New Roman" w:hAnsi="Times New Roman"/>
          <w:b w:val="0"/>
          <w:i w:val="0"/>
          <w:sz w:val="20"/>
        </w:rPr>
        <w:t xml:space="preserve"> leaves its unit interval when the net deviation is not an under-count (§3.8) — three of twenty cells, unmeasured, not clipped, the Table 3 pp terms the fallback — and the </w:t>
      </w:r>
      <w:r>
        <w:rPr>
          <w:rFonts w:ascii="Times New Roman" w:hAnsi="Times New Roman"/>
          <w:b/>
          <w:i w:val="0"/>
          <w:sz w:val="20"/>
        </w:rPr>
        <w:t>English</w:t>
      </w:r>
      <w:r>
        <w:rPr>
          <w:rFonts w:ascii="Times New Roman" w:hAnsi="Times New Roman"/>
          <w:b w:val="0"/>
          <w:i w:val="0"/>
          <w:sz w:val="20"/>
        </w:rPr>
        <w:t xml:space="preserve"> prompt lowers the answered-zero rate on the dense domains only, by </w:t>
      </w:r>
      <w:r>
        <w:rPr>
          <w:rFonts w:ascii="Times New Roman" w:hAnsi="Times New Roman"/>
          <w:b/>
          <w:i w:val="0"/>
          <w:sz w:val="20"/>
        </w:rPr>
        <w:t>15–26 pp</w:t>
      </w:r>
      <w:r>
        <w:rPr>
          <w:rFonts w:ascii="Times New Roman" w:hAnsi="Times New Roman"/>
          <w:b w:val="0"/>
          <w:i w:val="0"/>
          <w:sz w:val="20"/>
        </w:rPr>
        <w:t xml:space="preserve"> on the corpus's own </w:t>
      </w:r>
      <w:r>
        <w:rPr>
          <w:rFonts w:ascii="Times New Roman" w:hAnsi="Times New Roman"/>
          <w:b/>
          <w:i w:val="0"/>
          <w:sz w:val="20"/>
        </w:rPr>
        <w:t>third-party 4-bit</w:t>
      </w:r>
      <w:r>
        <w:rPr>
          <w:rFonts w:ascii="Times New Roman" w:hAnsi="Times New Roman"/>
          <w:b w:val="0"/>
          <w:i w:val="0"/>
          <w:sz w:val="20"/>
        </w:rPr>
        <w:t xml:space="preserve"> build, where two of the twenty cells stay outside the unit interval and every absolute rate carries a </w:t>
      </w:r>
      <w:r>
        <w:rPr>
          <w:rFonts w:ascii="Times New Roman" w:hAnsi="Times New Roman"/>
          <w:b/>
          <w:i w:val="0"/>
          <w:sz w:val="20"/>
        </w:rPr>
        <w:t>~1.3% item-level stack band</w:t>
      </w:r>
      <w:r>
        <w:rPr>
          <w:rFonts w:ascii="Times New Roman" w:hAnsi="Times New Roman"/>
          <w:b w:val="0"/>
          <w:i w:val="0"/>
          <w:sz w:val="20"/>
        </w:rPr>
        <w:t xml:space="preserve"> (M.19.16, M.46(c)). </w:t>
      </w:r>
      <w:r>
        <w:rPr>
          <w:rFonts w:ascii="Times New Roman" w:hAnsi="Times New Roman"/>
          <w:b/>
          <w:i w:val="0"/>
          <w:sz w:val="20"/>
        </w:rPr>
        <w:t>The 8-bit rows were served weight-only, not weight-and-activation 8-bit</w:t>
      </w:r>
      <w:r>
        <w:rPr>
          <w:rFonts w:ascii="Times New Roman" w:hAnsi="Times New Roman"/>
          <w:b w:val="0"/>
          <w:i w:val="0"/>
          <w:sz w:val="20"/>
        </w:rPr>
        <w:t xml:space="preserve"> — the host's compute capability is </w:t>
      </w:r>
      <w:r>
        <w:rPr>
          <w:rFonts w:ascii="Times New Roman" w:hAnsi="Times New Roman"/>
          <w:b/>
          <w:i w:val="0"/>
          <w:sz w:val="20"/>
        </w:rPr>
        <w:t>8.0</w:t>
      </w:r>
      <w:r>
        <w:rPr>
          <w:rFonts w:ascii="Times New Roman" w:hAnsi="Times New Roman"/>
          <w:b w:val="0"/>
          <w:i w:val="0"/>
          <w:sz w:val="20"/>
        </w:rPr>
        <w:t xml:space="preserve"> and W8A16 needs </w:t>
      </w:r>
      <w:r>
        <w:rPr>
          <w:rFonts w:ascii="Times New Roman" w:hAnsi="Times New Roman"/>
          <w:b/>
          <w:i w:val="0"/>
          <w:sz w:val="20"/>
        </w:rPr>
        <w:t>8.9</w:t>
      </w:r>
      <w:r>
        <w:rPr>
          <w:rFonts w:ascii="Times New Roman" w:hAnsi="Times New Roman"/>
          <w:b w:val="0"/>
          <w:i w:val="0"/>
          <w:sz w:val="20"/>
        </w:rPr>
        <w:t>, so the loader takes the weight-only path — and they therefore bound the build, not that path (M.46(c)).</w:t>
      </w:r>
    </w:p>
    <w:p>
      <w:r>
        <w:rPr>
          <w:rFonts w:ascii="Times New Roman" w:hAnsi="Times New Roman"/>
          <w:b/>
          <w:i w:val="0"/>
          <w:sz w:val="20"/>
        </w:rPr>
        <w:t>Domain composition is not systematic</w:t>
      </w:r>
      <w:r>
        <w:rPr>
          <w:rFonts w:ascii="Times New Roman" w:hAnsi="Times New Roman"/>
          <w:b w:val="0"/>
          <w:i w:val="0"/>
          <w:sz w:val="20"/>
        </w:rPr>
        <w:t xml:space="preserve">: the nine datasets span a legibility range, not a stated population, so domain-level statements describe these domains, not a distribution. </w:t>
      </w:r>
      <w:r>
        <w:rPr>
          <w:rFonts w:ascii="Times New Roman" w:hAnsi="Times New Roman"/>
          <w:b/>
          <w:i w:val="0"/>
          <w:sz w:val="20"/>
        </w:rPr>
        <w:t>The corpus was not pre-registered as a whole.</w:t>
      </w:r>
      <w:r>
        <w:rPr>
          <w:rFonts w:ascii="Times New Roman" w:hAnsi="Times New Roman"/>
          <w:b w:val="0"/>
          <w:i w:val="0"/>
          <w:sz w:val="20"/>
        </w:rPr>
        <w:t xml:space="preserve"> Only the sub-experiments explicitly marked as pre-registered had their criteria written before the data were examined (Appendix G.1, G.2 quote each as frozen); the rest are post hoc, including the tiling level, weight set and aggregation convention. </w:t>
      </w:r>
      <w:r>
        <w:rPr>
          <w:rFonts w:ascii="Times New Roman" w:hAnsi="Times New Roman"/>
          <w:b/>
          <w:i w:val="0"/>
          <w:sz w:val="20"/>
        </w:rPr>
        <w:t>Statistical power for the spectrum is low</w:t>
      </w:r>
      <w:r>
        <w:rPr>
          <w:rFonts w:ascii="Times New Roman" w:hAnsi="Times New Roman"/>
          <w:b w:val="0"/>
          <w:i w:val="0"/>
          <w:sz w:val="20"/>
        </w:rPr>
        <w:t xml:space="preserve"> (four knob sides, ten units), and the candidate claim rests on a permutation test over single split points plus bootstrap intervals, not on a modality test.</w:t>
      </w:r>
    </w:p>
    <w:p>
      <w:pPr>
        <w:pStyle w:val="Heading2"/>
      </w:pPr>
      <w:r>
        <w:rPr>
          <w:rFonts w:ascii="Times New Roman" w:hAnsi="Times New Roman"/>
          <w:b/>
          <w:i w:val="0"/>
          <w:sz w:val="24"/>
        </w:rPr>
        <w:t>9. Conclusions</w:t>
      </w:r>
    </w:p>
    <w:p>
      <w:r>
        <w:rPr>
          <w:rFonts w:ascii="Times New Roman" w:hAnsi="Times New Roman"/>
          <w:b w:val="0"/>
          <w:i w:val="0"/>
          <w:sz w:val="20"/>
        </w:rPr>
        <w:t xml:space="preserve">We set out to make the </w:t>
      </w:r>
      <w:r>
        <w:rPr>
          <w:rFonts w:ascii="Times New Roman" w:hAnsi="Times New Roman"/>
          <w:b/>
          <w:i w:val="0"/>
          <w:sz w:val="20"/>
        </w:rPr>
        <w:t>direction</w:t>
      </w:r>
      <w:r>
        <w:rPr>
          <w:rFonts w:ascii="Times New Roman" w:hAnsi="Times New Roman"/>
          <w:b w:val="0"/>
          <w:i w:val="0"/>
          <w:sz w:val="20"/>
        </w:rPr>
        <w:t xml:space="preserve"> of counting error measurable and found that, for one anchor build under Chinese prompts and GT weighting, the observed failure is an answered-zero output rather than a signed under-estimate; the contributions are therefore </w:t>
      </w:r>
      <w:r>
        <w:rPr>
          <w:rFonts w:ascii="Times New Roman" w:hAnsi="Times New Roman"/>
          <w:b/>
          <w:i w:val="0"/>
          <w:sz w:val="20"/>
        </w:rPr>
        <w:t>two findings, plus the apparatus that makes them checkable</w:t>
      </w:r>
      <w:r>
        <w:rPr>
          <w:rFonts w:ascii="Times New Roman" w:hAnsi="Times New Roman"/>
          <w:b w:val="0"/>
          <w:i w:val="0"/>
          <w:sz w:val="20"/>
        </w:rPr>
        <w:t xml:space="preserve">. The first is a </w:t>
      </w:r>
      <w:r>
        <w:rPr>
          <w:rFonts w:ascii="Times New Roman" w:hAnsi="Times New Roman"/>
          <w:b/>
          <w:i w:val="0"/>
          <w:sz w:val="20"/>
        </w:rPr>
        <w:t>measurement dimension</w:t>
      </w:r>
      <w:r>
        <w:rPr>
          <w:rFonts w:ascii="Times New Roman" w:hAnsi="Times New Roman"/>
          <w:b w:val="0"/>
          <w:i w:val="0"/>
          <w:sz w:val="20"/>
        </w:rPr>
        <w:t xml:space="preserve">: signed error direction, reported with the convention under which it is read, because the two conventions differ by tens of percentage points on the same data. The second is a </w:t>
      </w:r>
      <w:r>
        <w:rPr>
          <w:rFonts w:ascii="Times New Roman" w:hAnsi="Times New Roman"/>
          <w:b/>
          <w:i w:val="0"/>
          <w:sz w:val="20"/>
        </w:rPr>
        <w:t>observed contract-dependence of the answered zero</w:t>
      </w:r>
      <w:r>
        <w:rPr>
          <w:rFonts w:ascii="Times New Roman" w:hAnsi="Times New Roman"/>
          <w:b w:val="0"/>
          <w:i w:val="0"/>
          <w:sz w:val="20"/>
        </w:rPr>
        <w:t xml:space="preserve">: the outlet through which a model returns no number is set by the output contract, not by the lineage, so the outlet is a property of the serving configuration (§5.7). The spectrum replicates in its </w:t>
      </w:r>
      <w:r>
        <w:rPr>
          <w:rFonts w:ascii="Times New Roman" w:hAnsi="Times New Roman"/>
          <w:b/>
          <w:i w:val="0"/>
          <w:sz w:val="20"/>
        </w:rPr>
        <w:t>ordering</w:t>
      </w:r>
      <w:r>
        <w:rPr>
          <w:rFonts w:ascii="Times New Roman" w:hAnsi="Times New Roman"/>
          <w:b w:val="0"/>
          <w:i w:val="0"/>
          <w:sz w:val="20"/>
        </w:rPr>
        <w:t xml:space="preserve">, not its magnitudes, and then only under the </w:t>
      </w:r>
      <w:r>
        <w:rPr>
          <w:rFonts w:ascii="Times New Roman" w:hAnsi="Times New Roman"/>
          <w:b/>
          <w:i w:val="0"/>
          <w:sz w:val="20"/>
        </w:rPr>
        <w:t>level sets and calibers compared</w:t>
      </w:r>
      <w:r>
        <w:rPr>
          <w:rFonts w:ascii="Times New Roman" w:hAnsi="Times New Roman"/>
          <w:b w:val="0"/>
          <w:i w:val="0"/>
          <w:sz w:val="20"/>
        </w:rPr>
        <w:t xml:space="preserve">: with </w:t>
      </w:r>
      <w:r>
        <w:rPr>
          <w:rFonts w:ascii="Times New Roman" w:hAnsi="Times New Roman"/>
          <w:b/>
          <w:i w:val="0"/>
          <w:sz w:val="20"/>
        </w:rPr>
        <w:t>ten</w:t>
      </w:r>
      <w:r>
        <w:rPr>
          <w:rFonts w:ascii="Times New Roman" w:hAnsi="Times New Roman"/>
          <w:b w:val="0"/>
          <w:i w:val="0"/>
          <w:sz w:val="20"/>
        </w:rPr>
        <w:t xml:space="preserve"> units and a separation of </w:t>
      </w:r>
      <w:r>
        <w:rPr>
          <w:rFonts w:ascii="Times New Roman" w:hAnsi="Times New Roman"/>
          <w:b/>
          <w:i w:val="0"/>
          <w:sz w:val="20"/>
        </w:rPr>
        <w:t>1.6 pp</w:t>
      </w:r>
      <w:r>
        <w:rPr>
          <w:rFonts w:ascii="Times New Roman" w:hAnsi="Times New Roman"/>
          <w:b w:val="0"/>
          <w:i w:val="0"/>
          <w:sz w:val="20"/>
        </w:rPr>
        <w:t xml:space="preserve"> below the noise floor (corrected p≈0.075), it supports a </w:t>
      </w:r>
      <w:r>
        <w:rPr>
          <w:rFonts w:ascii="Times New Roman" w:hAnsi="Times New Roman"/>
          <w:b/>
          <w:i w:val="0"/>
          <w:sz w:val="20"/>
        </w:rPr>
        <w:t>ranking</w:t>
      </w:r>
      <w:r>
        <w:rPr>
          <w:rFonts w:ascii="Times New Roman" w:hAnsi="Times New Roman"/>
          <w:b w:val="0"/>
          <w:i w:val="0"/>
          <w:sz w:val="20"/>
        </w:rPr>
        <w:t xml:space="preserve">, and its per-cell intervals are sampling </w:t>
      </w:r>
      <w:r>
        <w:rPr>
          <w:rFonts w:ascii="Times New Roman" w:hAnsi="Times New Roman"/>
          <w:b/>
          <w:i w:val="0"/>
          <w:sz w:val="20"/>
        </w:rPr>
        <w:t>lower bounds</w:t>
      </w:r>
      <w:r>
        <w:rPr>
          <w:rFonts w:ascii="Times New Roman" w:hAnsi="Times New Roman"/>
          <w:b w:val="0"/>
          <w:i w:val="0"/>
          <w:sz w:val="20"/>
        </w:rPr>
        <w:t xml:space="preserve"> (§8.1). The weakest parts are stated as such in §8; the most consequential open question is whether the abstention channel can be given a statistical guarantee, not a measured rate (§7.7). </w:t>
      </w:r>
      <w:r>
        <w:rPr>
          <w:rFonts w:ascii="Times New Roman" w:hAnsi="Times New Roman"/>
          <w:b/>
          <w:i w:val="0"/>
          <w:sz w:val="20"/>
        </w:rPr>
        <w:t>Scope, stated where it binds.</w:t>
      </w:r>
      <w:r>
        <w:rPr>
          <w:rFonts w:ascii="Times New Roman" w:hAnsi="Times New Roman"/>
          <w:b w:val="0"/>
          <w:i w:val="0"/>
          <w:sz w:val="20"/>
        </w:rPr>
        <w:t xml:space="preserve"> Every frequency claim above holds </w:t>
      </w:r>
      <w:r>
        <w:rPr>
          <w:rFonts w:ascii="Times New Roman" w:hAnsi="Times New Roman"/>
          <w:b/>
          <w:i w:val="0"/>
          <w:sz w:val="20"/>
        </w:rPr>
        <w:t>for the configurations and builds measured</w:t>
      </w:r>
      <w:r>
        <w:rPr>
          <w:rFonts w:ascii="Times New Roman" w:hAnsi="Times New Roman"/>
          <w:b w:val="0"/>
          <w:i w:val="0"/>
          <w:sz w:val="20"/>
        </w:rPr>
        <w:t xml:space="preserve">: within the dense domains five deployments of a </w:t>
      </w:r>
      <w:r>
        <w:rPr>
          <w:rFonts w:ascii="Times New Roman" w:hAnsi="Times New Roman"/>
          <w:b/>
          <w:i w:val="0"/>
          <w:sz w:val="20"/>
        </w:rPr>
        <w:t>single</w:t>
      </w:r>
      <w:r>
        <w:rPr>
          <w:rFonts w:ascii="Times New Roman" w:hAnsi="Times New Roman"/>
          <w:b w:val="0"/>
          <w:i w:val="0"/>
          <w:sz w:val="20"/>
        </w:rPr>
        <w:t xml:space="preserve"> 32B checkpoint differ by up to </w:t>
      </w:r>
      <w:r>
        <w:rPr>
          <w:rFonts w:ascii="Times New Roman" w:hAnsi="Times New Roman"/>
          <w:b/>
          <w:i w:val="0"/>
          <w:sz w:val="20"/>
        </w:rPr>
        <w:t>90.3 pp</w:t>
      </w:r>
      <w:r>
        <w:rPr>
          <w:rFonts w:ascii="Times New Roman" w:hAnsi="Times New Roman"/>
          <w:b w:val="0"/>
          <w:i w:val="0"/>
          <w:sz w:val="20"/>
        </w:rPr>
        <w:t xml:space="preserve"> in their answered-zero rate but only </w:t>
      </w:r>
      <w:r>
        <w:rPr>
          <w:rFonts w:ascii="Times New Roman" w:hAnsi="Times New Roman"/>
          <w:b/>
          <w:i w:val="0"/>
          <w:sz w:val="20"/>
        </w:rPr>
        <w:t>6–11 pp</w:t>
      </w:r>
      <w:r>
        <w:rPr>
          <w:rFonts w:ascii="Times New Roman" w:hAnsi="Times New Roman"/>
          <w:b w:val="0"/>
          <w:i w:val="0"/>
          <w:sz w:val="20"/>
        </w:rPr>
        <w:t xml:space="preserve"> on the abstention share itself, the quantity the headline is about (Appendix M.18.9; the contrasts behind that boundary are in §8.2).</w:t>
      </w:r>
    </w:p>
    <w:p>
      <w:pPr>
        <w:pStyle w:val="Heading2"/>
      </w:pPr>
      <w:r>
        <w:rPr>
          <w:rFonts w:ascii="Times New Roman" w:hAnsi="Times New Roman"/>
          <w:b/>
          <w:i w:val="0"/>
          <w:sz w:val="24"/>
        </w:rPr>
        <w:t>Declaration of generative AI and AI-assisted technologies in the manuscript preparation process</w:t>
      </w:r>
    </w:p>
    <w:p>
      <w:r>
        <w:rPr>
          <w:rFonts w:ascii="Times New Roman" w:hAnsi="Times New Roman"/>
          <w:b w:val="0"/>
          <w:i w:val="0"/>
          <w:sz w:val="20"/>
        </w:rPr>
        <w:t>During the preparation of this work the author(s) used a panel of large language models, accessed through their vendors' application programming interfaces, to simulate peer review of the manuscript and to audit the internal consistency of the reported numbers and cross-references. These tools were not used to generate the text; the author(s) reviewed and edited the content and take(s) full responsibility for the published article.</w:t>
      </w:r>
    </w:p>
    <w:p>
      <w:pPr>
        <w:pStyle w:val="Heading2"/>
      </w:pPr>
      <w:r>
        <w:rPr>
          <w:rFonts w:ascii="Times New Roman" w:hAnsi="Times New Roman"/>
          <w:b/>
          <w:i w:val="0"/>
          <w:sz w:val="24"/>
        </w:rPr>
        <w:t>CRediT author contribution statement</w:t>
      </w:r>
    </w:p>
    <w:p>
      <w:r>
        <w:rPr>
          <w:rFonts w:ascii="Times New Roman" w:hAnsi="Times New Roman"/>
          <w:b/>
          <w:i w:val="0"/>
          <w:sz w:val="20"/>
        </w:rPr>
        <w:t>Author contributions.</w:t>
      </w:r>
      <w:r>
        <w:rPr>
          <w:rFonts w:ascii="Times New Roman" w:hAnsi="Times New Roman"/>
          <w:b w:val="0"/>
          <w:i w:val="0"/>
          <w:sz w:val="20"/>
        </w:rPr>
        <w:t xml:space="preserve"> Conceptualization, methodology, software, validation, formal analysis, investigation, resources, data curation, writing — original draft, writing — review and editing, visualization, supervision, project administration: the author.</w:t>
      </w:r>
    </w:p>
    <w:p>
      <w:pPr>
        <w:pStyle w:val="Heading2"/>
      </w:pPr>
      <w:r>
        <w:rPr>
          <w:rFonts w:ascii="Times New Roman" w:hAnsi="Times New Roman"/>
          <w:b/>
          <w:i w:val="0"/>
          <w:sz w:val="24"/>
        </w:rPr>
        <w:t>Acknowledgements</w:t>
      </w:r>
    </w:p>
    <w:p>
      <w:r>
        <w:rPr>
          <w:rFonts w:ascii="Times New Roman" w:hAnsi="Times New Roman"/>
          <w:b w:val="0"/>
          <w:i w:val="0"/>
          <w:sz w:val="20"/>
        </w:rPr>
        <w:t>None.</w:t>
      </w:r>
    </w:p>
    <w:p>
      <w:pPr>
        <w:pStyle w:val="Heading2"/>
      </w:pPr>
      <w:r>
        <w:rPr>
          <w:rFonts w:ascii="Times New Roman" w:hAnsi="Times New Roman"/>
          <w:b/>
          <w:i w:val="0"/>
          <w:sz w:val="24"/>
        </w:rPr>
        <w:t>Data availability</w:t>
      </w:r>
    </w:p>
    <w:p>
      <w:r>
        <w:rPr>
          <w:rFonts w:ascii="Times New Roman" w:hAnsi="Times New Roman"/>
          <w:b w:val="0"/>
          <w:i w:val="0"/>
          <w:sz w:val="20"/>
        </w:rPr>
        <w:t xml:space="preserve">The image corpora are public datasets, cited above. The derived per-image prediction records, analysis scripts and run logs that recompute the released aggregate numbers are released or flagged at https://github.com/YBP2005/P3 (CC BY 4.0), with per-file MD5s; the release-only gate and inputs absent from the package are in </w:t>
      </w:r>
      <w:r>
        <w:rPr>
          <w:rFonts w:ascii="Times New Roman" w:hAnsi="Times New Roman"/>
          <w:b w:val="0"/>
          <w:i/>
          <w:sz w:val="20"/>
        </w:rPr>
        <w:t>README.md</w:t>
      </w:r>
      <w:r>
        <w:rPr>
          <w:rFonts w:ascii="Times New Roman" w:hAnsi="Times New Roman"/>
          <w:b w:val="0"/>
          <w:i w:val="0"/>
          <w:sz w:val="20"/>
        </w:rPr>
        <w:t xml:space="preserve">. </w:t>
      </w:r>
      <w:r>
        <w:rPr>
          <w:rFonts w:ascii="Times New Roman" w:hAnsi="Times New Roman"/>
          <w:b w:val="0"/>
          <w:i/>
          <w:sz w:val="20"/>
        </w:rPr>
        <w:t>MANIFEST.csv</w:t>
      </w:r>
      <w:r>
        <w:rPr>
          <w:rFonts w:ascii="Times New Roman" w:hAnsi="Times New Roman"/>
          <w:b w:val="0"/>
          <w:i w:val="0"/>
          <w:sz w:val="20"/>
        </w:rPr>
        <w:t xml:space="preserve"> lists the tree path by path with each file's byte count and MD5; an independent audit checked the bytes and the MD5s of a </w:t>
      </w:r>
      <w:r>
        <w:rPr>
          <w:rFonts w:ascii="Times New Roman" w:hAnsi="Times New Roman"/>
          <w:b/>
          <w:i w:val="0"/>
          <w:sz w:val="20"/>
        </w:rPr>
        <w:t>selected subset</w:t>
      </w:r>
      <w:r>
        <w:rPr>
          <w:rFonts w:ascii="Times New Roman" w:hAnsi="Times New Roman"/>
          <w:b w:val="0"/>
          <w:i w:val="0"/>
          <w:sz w:val="20"/>
        </w:rPr>
        <w:t xml:space="preserve"> of those records and not of every one, so listed-file coverage holds for that subset alone, and integrity says nothing about whether the analyses are correct.</w:t>
      </w:r>
    </w:p>
    <w:p>
      <w:pPr>
        <w:pStyle w:val="Heading2"/>
      </w:pPr>
      <w:r>
        <w:rPr>
          <w:rFonts w:ascii="Times New Roman" w:hAnsi="Times New Roman"/>
          <w:b/>
          <w:i w:val="0"/>
          <w:sz w:val="24"/>
        </w:rPr>
        <w:t>Funding</w:t>
      </w:r>
    </w:p>
    <w:p>
      <w:r>
        <w:rPr>
          <w:rFonts w:ascii="Times New Roman" w:hAnsi="Times New Roman"/>
          <w:b w:val="0"/>
          <w:i w:val="0"/>
          <w:sz w:val="20"/>
        </w:rPr>
        <w:t>This research did not receive any specific grant from funding agencies in the public, commercial, or not-for-profit sectors.</w:t>
      </w:r>
    </w:p>
    <w:p>
      <w:pPr>
        <w:pStyle w:val="Heading2"/>
      </w:pPr>
      <w:r>
        <w:rPr>
          <w:rFonts w:ascii="Times New Roman" w:hAnsi="Times New Roman"/>
          <w:b/>
          <w:i w:val="0"/>
          <w:sz w:val="24"/>
        </w:rPr>
        <w:t>References</w:t>
      </w:r>
    </w:p>
    <w:p>
      <w:r>
        <w:rPr>
          <w:rFonts w:ascii="Times New Roman" w:hAnsi="Times New Roman"/>
          <w:b w:val="0"/>
          <w:i w:val="0"/>
          <w:sz w:val="20"/>
        </w:rPr>
        <w:t>1. Song, Q., Wang, C., Jiang, Z., et al. Rethinking Counting and Localization in Crowds: A Purely Point-Based Framework. ICCV 2021. https://doi.org/10.1109/ICCV48922.2021.00335.</w:t>
      </w:r>
    </w:p>
    <w:p>
      <w:r>
        <w:rPr>
          <w:rFonts w:ascii="Times New Roman" w:hAnsi="Times New Roman"/>
          <w:b w:val="0"/>
          <w:i w:val="0"/>
          <w:sz w:val="20"/>
        </w:rPr>
        <w:t>2. Narasimhan, H., Menon, A., Jitkrittum, W., et al. Plugin Estimators for Selective Classification with Out-of-Distribution Detection. preprint arXiv:2301.12386, 2023.</w:t>
      </w:r>
    </w:p>
    <w:p>
      <w:r>
        <w:rPr>
          <w:rFonts w:ascii="Times New Roman" w:hAnsi="Times New Roman"/>
          <w:b w:val="0"/>
          <w:i w:val="0"/>
          <w:sz w:val="20"/>
        </w:rPr>
        <w:t>3. Geifman, Y., El-Yaniv, R. SelectiveNet: A Deep Neural Network with an Integrated Reject Option. ICML 2019. PMLR 97:2151-2159. https://proceedings.mlr.press/v97/geifman19a.html.</w:t>
      </w:r>
    </w:p>
    <w:p>
      <w:r>
        <w:rPr>
          <w:rFonts w:ascii="Times New Roman" w:hAnsi="Times New Roman"/>
          <w:b w:val="0"/>
          <w:i w:val="0"/>
          <w:sz w:val="20"/>
        </w:rPr>
        <w:t>4. Denis, C., Hebiri, M., Zaoui, A. Regression with Reject Option and Application to kNN. NeurIPS 2020. preprint arXiv:2006.16597.</w:t>
      </w:r>
    </w:p>
    <w:p>
      <w:r>
        <w:rPr>
          <w:rFonts w:ascii="Times New Roman" w:hAnsi="Times New Roman"/>
          <w:b w:val="0"/>
          <w:i w:val="0"/>
          <w:sz w:val="20"/>
        </w:rPr>
        <w:t>5. Zhang, Y., Zhou, D., Chen, S., Gao, S., Ma, Y. Single-Image Crowd Counting via Multi-Column Convolutional Neural Network. CVPR 2016. https://doi.org/10.1109/CVPR.2016.70.</w:t>
      </w:r>
    </w:p>
    <w:p>
      <w:r>
        <w:rPr>
          <w:rFonts w:ascii="Times New Roman" w:hAnsi="Times New Roman"/>
          <w:b w:val="0"/>
          <w:i w:val="0"/>
          <w:sz w:val="20"/>
        </w:rPr>
        <w:t>6. Chen, Z., Wang, W., Cao, Y., et al. Expanding Performance Boundaries of Open-Source Multimodal Models with Model, Data, and Test-Time Scaling. preprint arXiv:2412.05271, 2024.</w:t>
      </w:r>
    </w:p>
    <w:p>
      <w:r>
        <w:rPr>
          <w:rFonts w:ascii="Times New Roman" w:hAnsi="Times New Roman"/>
          <w:b w:val="0"/>
          <w:i w:val="0"/>
          <w:sz w:val="20"/>
        </w:rPr>
        <w:t>7. Ranjan, V., Sharma, U., Nguyen, T., Hoai, M. Learning To Count Everything. CVPR 2021. preprint arXiv:2104.08391.</w:t>
      </w:r>
    </w:p>
    <w:p>
      <w:r>
        <w:rPr>
          <w:rFonts w:ascii="Times New Roman" w:hAnsi="Times New Roman"/>
          <w:b w:val="0"/>
          <w:i w:val="0"/>
          <w:sz w:val="20"/>
        </w:rPr>
        <w:t>8. Lempitsky, V., Zisserman, A. Learning To Count Objects in Images. NIPS 2010.</w:t>
      </w:r>
    </w:p>
    <w:p>
      <w:r>
        <w:rPr>
          <w:rFonts w:ascii="Times New Roman" w:hAnsi="Times New Roman"/>
          <w:b w:val="0"/>
          <w:i w:val="0"/>
          <w:sz w:val="20"/>
        </w:rPr>
        <w:t>9. Guo, X., Huang, Z., Shi, Z., et al. Your Vision-Language Model Can't Even Count to 20: Exposing the Failures of VLMs in Compositional Counting (VLMCountBench). preprint arXiv:2510.04401, 2025.</w:t>
      </w:r>
    </w:p>
    <w:p>
      <w:r>
        <w:rPr>
          <w:rFonts w:ascii="Times New Roman" w:hAnsi="Times New Roman"/>
          <w:b w:val="0"/>
          <w:i w:val="0"/>
          <w:sz w:val="20"/>
        </w:rPr>
        <w:t>10. Srinivasan, T., Hessel, J., Gupta, T., et al. Selective "Selective Prediction": Reducing Unnecessary Abstention in Vision-Language Reasoning. Findings of ACL 2024. preprint arXiv:2402.15610.</w:t>
      </w:r>
    </w:p>
    <w:p>
      <w:r>
        <w:rPr>
          <w:rFonts w:ascii="Times New Roman" w:hAnsi="Times New Roman"/>
          <w:b w:val="0"/>
          <w:i w:val="0"/>
          <w:sz w:val="20"/>
        </w:rPr>
        <w:t>11. Chow, C. K. On optimum recognition error and reject tradeoff. IEEE Trans. Inf. Theory 16 (1970) 41-46. https://doi.org/10.1109/TIT.1970.1054406.</w:t>
      </w:r>
    </w:p>
    <w:p>
      <w:r>
        <w:rPr>
          <w:rFonts w:ascii="Times New Roman" w:hAnsi="Times New Roman"/>
          <w:b w:val="0"/>
          <w:i w:val="0"/>
          <w:sz w:val="20"/>
        </w:rPr>
        <w:t>12. Madhusudhan, N., Yadav, V., Lacoste, A. Knowing When Not to Answer: Evaluating Abstention in Multimodal Reasoning Systems. preprint arXiv:2604.14799, 2026.</w:t>
      </w:r>
    </w:p>
    <w:p>
      <w:r>
        <w:rPr>
          <w:rFonts w:ascii="Times New Roman" w:hAnsi="Times New Roman"/>
          <w:b w:val="0"/>
          <w:i w:val="0"/>
          <w:sz w:val="20"/>
        </w:rPr>
        <w:t>13. Pramono, F., Cai, J., Kulkarni, S. TRAPSBench: Vision-Language Models Encode but Fail to Express Epistemic Restraint. COLM 2026. preprint arXiv:2608.13167.</w:t>
      </w:r>
    </w:p>
    <w:p>
      <w:r>
        <w:rPr>
          <w:rFonts w:ascii="Times New Roman" w:hAnsi="Times New Roman"/>
          <w:b w:val="0"/>
          <w:i w:val="0"/>
          <w:sz w:val="20"/>
        </w:rPr>
        <w:t>14. Ortiz, J. Explicit Abstention Knobs for Predictable Reliability in Video Question Answering. preprint arXiv:2601.00138, 2025.</w:t>
      </w:r>
    </w:p>
    <w:p>
      <w:r>
        <w:rPr>
          <w:rFonts w:ascii="Times New Roman" w:hAnsi="Times New Roman"/>
          <w:b w:val="0"/>
          <w:i w:val="0"/>
          <w:sz w:val="20"/>
        </w:rPr>
        <w:t>15. Zhang, H., Feng, Y., Liu, H., et al. The Uncontrolled Variable: Vision-Language Refusal Is Conditioned on the Image-Attachment Interface, and Not Robust to Irrelevant Image Properties. preprint arXiv:2609.26174, 2026.</w:t>
      </w:r>
    </w:p>
    <w:p>
      <w:r>
        <w:rPr>
          <w:rFonts w:ascii="Times New Roman" w:hAnsi="Times New Roman"/>
          <w:b w:val="0"/>
          <w:i w:val="0"/>
          <w:sz w:val="20"/>
        </w:rPr>
        <w:t>16. Trick, L. M., Pylyshyn, Z. W. Why are small and large numbers enumerated differently? A limited-capacity preattentive stage in vision. Psychol. Rev. 101(1):80–102, 1994. https://doi.org/10.1037/0033-295X.101.1.80.</w:t>
      </w:r>
    </w:p>
    <w:p>
      <w:r>
        <w:rPr>
          <w:rFonts w:ascii="Times New Roman" w:hAnsi="Times New Roman"/>
          <w:b w:val="0"/>
          <w:i w:val="0"/>
          <w:sz w:val="20"/>
        </w:rPr>
        <w:t>17. Fu, Y., Li, F., Liu, X., et al. NumerosityVLM: A Cognitively Inspired Benchmark for Interpreting Numerosity Representations in Vision-Language Models. preprint arXiv:2608.15425, 2026.</w:t>
      </w:r>
    </w:p>
    <w:p>
      <w:r>
        <w:rPr>
          <w:rFonts w:ascii="Times New Roman" w:hAnsi="Times New Roman"/>
          <w:b w:val="0"/>
          <w:i w:val="0"/>
          <w:sz w:val="20"/>
        </w:rPr>
        <w:t>18. Yu, F.-S., Li, J., Wang, X., et al. Large, Complex, and Realistic Safety Clothing and Helmet Detection: Dataset and Method. preprint arXiv:2306.02098, 2023.</w:t>
      </w:r>
    </w:p>
    <w:p>
      <w:r>
        <w:rPr>
          <w:rFonts w:ascii="Times New Roman" w:hAnsi="Times New Roman"/>
          <w:b w:val="0"/>
          <w:i w:val="0"/>
          <w:sz w:val="20"/>
        </w:rPr>
        <w:t>19. Paiss, R., Ephrat, A., Tov, O., et al. Teaching CLIP to Count to Ten. ICCV 2023. https://doi.org/10.1109/ICCV51070.2023.00294.</w:t>
      </w:r>
    </w:p>
    <w:p>
      <w:r>
        <w:rPr>
          <w:rFonts w:ascii="Times New Roman" w:hAnsi="Times New Roman"/>
          <w:b w:val="0"/>
          <w:i w:val="0"/>
          <w:sz w:val="20"/>
        </w:rPr>
        <w:t>20. Acharya, M., Kafle, K., Kanan, C. TallyQA: Answering Complex Counting Questions. AAAI 2019. https://doi.org/10.1609/AAAI.V33I01.33018076.</w:t>
      </w:r>
    </w:p>
    <w:p>
      <w:r>
        <w:rPr>
          <w:rFonts w:ascii="Times New Roman" w:hAnsi="Times New Roman"/>
          <w:b w:val="0"/>
          <w:i w:val="0"/>
          <w:sz w:val="20"/>
        </w:rPr>
        <w:t>21. Djukic, N., Lukezic, A., Zavrtanik, V., et al. A Low-Shot Object Counting Network With Iterative Prototype Adaptation. ICCV 2023. preprint arXiv:2211.08217.</w:t>
      </w:r>
    </w:p>
    <w:p>
      <w:r>
        <w:rPr>
          <w:rFonts w:ascii="Times New Roman" w:hAnsi="Times New Roman"/>
          <w:b w:val="0"/>
          <w:i w:val="0"/>
          <w:sz w:val="20"/>
        </w:rPr>
        <w:t>22. Liu, C., Wu, H., Xie, W. Count Anything at Any Granularity. preprint arXiv:2605.10887, 2026.</w:t>
      </w:r>
    </w:p>
    <w:p>
      <w:r>
        <w:rPr>
          <w:rFonts w:ascii="Times New Roman" w:hAnsi="Times New Roman"/>
          <w:b w:val="0"/>
          <w:i w:val="0"/>
          <w:sz w:val="20"/>
        </w:rPr>
        <w:t>23. Huang, Z., Dai, M., Zhang, Y., et al. Point, Segment and Count: A Generalized Framework for Object Counting. CVPR 2024. preprint arXiv:2311.12386.</w:t>
      </w:r>
    </w:p>
    <w:p>
      <w:r>
        <w:rPr>
          <w:rFonts w:ascii="Times New Roman" w:hAnsi="Times New Roman"/>
          <w:b w:val="0"/>
          <w:i w:val="0"/>
          <w:sz w:val="20"/>
        </w:rPr>
        <w:t>24. El-Shangiti, A., Nurgazy, A., AlQuabeh, H., et al. The Count Is There, but Misaligned: Understanding and Correcting Counting Failures in VLMs. preprint arXiv:2607.09544, 2026.</w:t>
      </w:r>
    </w:p>
    <w:p>
      <w:r>
        <w:rPr>
          <w:rFonts w:ascii="Times New Roman" w:hAnsi="Times New Roman"/>
          <w:b w:val="0"/>
          <w:i w:val="0"/>
          <w:sz w:val="20"/>
        </w:rPr>
        <w:t>25. Anh, D., Irawan, P., Vo, T. Counting to Four is still a Chore for VLMs. preprint arXiv:2604.10039, 2026.</w:t>
      </w:r>
    </w:p>
    <w:p>
      <w:r>
        <w:rPr>
          <w:rFonts w:ascii="Times New Roman" w:hAnsi="Times New Roman"/>
          <w:b w:val="0"/>
          <w:i w:val="0"/>
          <w:sz w:val="20"/>
        </w:rPr>
        <w:t>26. Nguyen, G., Huang, Y., Hoai, M. Can Current AI Models Count What We Mean, Not What They See? A Benchmark and Systematic Evaluation (PairTally). preprint arXiv:2509.13939, 2025.</w:t>
      </w:r>
    </w:p>
    <w:p>
      <w:r>
        <w:rPr>
          <w:rFonts w:ascii="Times New Roman" w:hAnsi="Times New Roman"/>
          <w:b w:val="0"/>
          <w:i w:val="0"/>
          <w:sz w:val="20"/>
        </w:rPr>
        <w:t>27. Pang, X., Hou, Y., Wang, J., Sachan, M. Unveiling the Visual Counting Bottleneck in Vision-Language Models. ICML 2026. preprint arXiv:2605.30170.</w:t>
      </w:r>
    </w:p>
    <w:p>
      <w:r>
        <w:rPr>
          <w:rFonts w:ascii="Times New Roman" w:hAnsi="Times New Roman"/>
          <w:b w:val="0"/>
          <w:i w:val="0"/>
          <w:sz w:val="20"/>
        </w:rPr>
        <w:t>28. Pothiraj, A., Stengel-Eskin, E., Cho, J., et al. CAPTURe: Evaluating Spatial Reasoning in Vision Language Models via Occluded Object Counting. ICCV 2025. preprint arXiv:2504.15485.</w:t>
      </w:r>
    </w:p>
    <w:p>
      <w:r>
        <w:rPr>
          <w:rFonts w:ascii="Times New Roman" w:hAnsi="Times New Roman"/>
          <w:b w:val="0"/>
          <w:i w:val="0"/>
          <w:sz w:val="20"/>
        </w:rPr>
        <w:t>29. Guo, C., Pleiss, G., Sun, Y., et al. On Calibration of Modern Neural Networks. ICML 2017. preprint arXiv:1706.04599.</w:t>
      </w:r>
    </w:p>
    <w:p>
      <w:r>
        <w:rPr>
          <w:rFonts w:ascii="Times New Roman" w:hAnsi="Times New Roman"/>
          <w:b w:val="0"/>
          <w:i w:val="0"/>
          <w:sz w:val="20"/>
        </w:rPr>
        <w:t>30. Tamarapalli, J., Grover, R., Pande, N., et al. CountQA: How Well Do MLLMs Count in the Wild? preprint arXiv:2508.06585, 2025.</w:t>
      </w:r>
    </w:p>
    <w:p>
      <w:r>
        <w:rPr>
          <w:rFonts w:ascii="Times New Roman" w:hAnsi="Times New Roman"/>
          <w:b w:val="0"/>
          <w:i w:val="0"/>
          <w:sz w:val="20"/>
        </w:rPr>
        <w:t>31. Li, S., Chen, J., Sharma, K., et al. PushupBench: Your VLM is not good at counting pushups. preprint arXiv:2604.23407, 2026.</w:t>
      </w:r>
    </w:p>
    <w:p>
      <w:r>
        <w:rPr>
          <w:rFonts w:ascii="Times New Roman" w:hAnsi="Times New Roman"/>
          <w:b w:val="0"/>
          <w:i w:val="0"/>
          <w:sz w:val="20"/>
        </w:rPr>
        <w:t>32. Zhu, P., Wen, L., Du, D., et al. Detection and Tracking Meet Drones Challenge. IEEE TPAMI 44(11), 2022. https://doi.org/10.1109/TPAMI.2021.3119563.</w:t>
      </w:r>
    </w:p>
    <w:p>
      <w:r>
        <w:rPr>
          <w:rFonts w:ascii="Times New Roman" w:hAnsi="Times New Roman"/>
          <w:b w:val="0"/>
          <w:i w:val="0"/>
          <w:sz w:val="20"/>
        </w:rPr>
        <w:t>33. Wang, J., Yang, W., Guo, H., et al. Tiny Object Detection in Aerial Images. ICPR 2021. https://doi.org/10.1109/ICPR48806.2021.9413340.</w:t>
      </w:r>
    </w:p>
    <w:p>
      <w:r>
        <w:rPr>
          <w:rFonts w:ascii="Times New Roman" w:hAnsi="Times New Roman"/>
          <w:b w:val="0"/>
          <w:i w:val="0"/>
          <w:sz w:val="20"/>
        </w:rPr>
        <w:t>34. Tian, Y., Ye, Q., Doermann, D. YOLOv12: Attention-Centric Real-Time Object Detectors. NeurIPS 2025. https://doi.org/10.52202/085713-2627.</w:t>
      </w:r>
    </w:p>
    <w:p>
      <w:r>
        <w:rPr>
          <w:rFonts w:ascii="Times New Roman" w:hAnsi="Times New Roman"/>
          <w:b w:val="0"/>
          <w:i w:val="0"/>
          <w:sz w:val="20"/>
        </w:rPr>
        <w:t>35. Akyon, F., Altinuc, S., Temizel, A. Slicing Aided Hyper Inference and Fine-tuning for Small Object Detection. ICIP 2022. preprint arXiv:2202.06934.</w:t>
      </w:r>
    </w:p>
    <w:p>
      <w:r>
        <w:rPr>
          <w:rFonts w:ascii="Times New Roman" w:hAnsi="Times New Roman"/>
          <w:b w:val="0"/>
          <w:i w:val="0"/>
          <w:sz w:val="20"/>
        </w:rPr>
        <w:t>36. Lin, T.-Y., Maire, M., Belongie, S., et al. Microsoft COCO: Common Objects in Context. ECCV 2014. https://doi.org/10.1007/978-3-319-10602-1_48.</w:t>
      </w:r>
    </w:p>
    <w:p>
      <w:r>
        <w:rPr>
          <w:rFonts w:ascii="Times New Roman" w:hAnsi="Times New Roman"/>
          <w:b w:val="0"/>
          <w:i w:val="0"/>
          <w:sz w:val="20"/>
        </w:rPr>
        <w:t>37. Ren, S., He, K., Girshick, R., Sun, J. Faster R-CNN: Towards Real-Time Object Detection with Region Proposal Networks. IEEE TPAMI 39(6), 2017. https://doi.org/10.1109/TPAMI.2016.2577031.</w:t>
      </w:r>
    </w:p>
    <w:p>
      <w:r>
        <w:rPr>
          <w:rFonts w:ascii="Times New Roman" w:hAnsi="Times New Roman"/>
          <w:b w:val="0"/>
          <w:i w:val="0"/>
          <w:sz w:val="20"/>
        </w:rPr>
        <w:t>38. Lin, T.-Y., Goyal, P., Girshick, R., et al. Focal Loss for Dense Object Detection. ICCV 2017. https://doi.org/10.1109/ICCV.2017.324.</w:t>
      </w:r>
    </w:p>
    <w:p>
      <w:r>
        <w:rPr>
          <w:rFonts w:ascii="Times New Roman" w:hAnsi="Times New Roman"/>
          <w:b w:val="0"/>
          <w:i w:val="0"/>
          <w:sz w:val="20"/>
        </w:rPr>
        <w:t>39. Bai, S., Cai, Y., Chen, R., et al. Qwen3-VL Technical Report. preprint arXiv:2511.21631, 2025.</w:t>
      </w:r>
    </w:p>
    <w:p>
      <w:r>
        <w:rPr>
          <w:rFonts w:ascii="Times New Roman" w:hAnsi="Times New Roman"/>
          <w:b w:val="0"/>
          <w:i w:val="0"/>
          <w:sz w:val="20"/>
        </w:rPr>
        <w:t>40. Lin, J., Tang, J., Tang, H., et al. AWQ: Activation-aware Weight Quantization for LLM Compression and Acceleration. preprint arXiv:2306.00978, 2023.</w:t>
      </w:r>
    </w:p>
    <w:p>
      <w:r>
        <w:rPr>
          <w:rFonts w:ascii="Times New Roman" w:hAnsi="Times New Roman"/>
          <w:b w:val="0"/>
          <w:i w:val="0"/>
          <w:sz w:val="20"/>
        </w:rPr>
        <w:t>41. Frantar, E., Ashkboos, S., Hoefler, T., Alistarh, D. GPTQ: Accurate Post-Training Quantization for Generative Pre-trained Transformers. preprint arXiv:2210.17323, 2023.</w:t>
      </w:r>
    </w:p>
    <w:p>
      <w:r>
        <w:rPr>
          <w:rFonts w:ascii="Times New Roman" w:hAnsi="Times New Roman"/>
          <w:b w:val="0"/>
          <w:i w:val="0"/>
          <w:sz w:val="20"/>
        </w:rPr>
        <w:t>42. Bai, S., Chen, K., Liu, X., et al. Qwen2.5-VL Technical Report. preprint arXiv:2502.13923, 2025.</w:t>
      </w:r>
    </w:p>
    <w:p>
      <w:r>
        <w:rPr>
          <w:rFonts w:ascii="Times New Roman" w:hAnsi="Times New Roman"/>
          <w:b w:val="0"/>
          <w:i w:val="0"/>
          <w:sz w:val="20"/>
        </w:rPr>
        <w:t>43. Ma, Z., Wei, X., Hong, X., et al. Bayesian Loss for Crowd Count Estimation with Point Supervision. ICCV 2019. https://doi.org/10.1109/ICCV.2019.00624.</w:t>
      </w:r>
    </w:p>
    <w:p>
      <w:r>
        <w:rPr>
          <w:rFonts w:ascii="Times New Roman" w:hAnsi="Times New Roman"/>
          <w:b w:val="0"/>
          <w:i w:val="0"/>
          <w:sz w:val="20"/>
        </w:rPr>
        <w:t>44. Li, Y., Zhang, X., Chen, D. CSRNet: Dilated Convolutional Neural Networks for Understanding the Highly Congested Scenes. CVPR 2018. https://doi.org/10.1109/CVPR.2018.00120.</w:t>
      </w:r>
    </w:p>
    <w:p>
      <w:r>
        <w:rPr>
          <w:rFonts w:ascii="Times New Roman" w:hAnsi="Times New Roman"/>
          <w:b w:val="0"/>
          <w:i w:val="0"/>
          <w:sz w:val="20"/>
        </w:rPr>
        <w:t>45. Wang, B., Liu, H., Samaras, D., Nguyen, H. Distribution Matching for Crowd Counting. NeurIPS 2020. preprint arXiv:2009.13077.</w:t>
      </w:r>
    </w:p>
    <w:p>
      <w:r>
        <w:rPr>
          <w:rFonts w:ascii="Times New Roman" w:hAnsi="Times New Roman"/>
          <w:b w:val="0"/>
          <w:i w:val="0"/>
          <w:sz w:val="20"/>
        </w:rPr>
        <w:t>46. Han, H. Off-Target Effects of Response-Style Alignment in a Korean 27B Language Model. preprint arXiv:2609.11291, 2026.</w:t>
      </w:r>
    </w:p>
    <w:p>
      <w:r>
        <w:rPr>
          <w:rFonts w:ascii="Times New Roman" w:hAnsi="Times New Roman"/>
          <w:b w:val="0"/>
          <w:i w:val="0"/>
          <w:sz w:val="20"/>
        </w:rPr>
        <w:t>47. Idrees, H., Tayyab, M., Athrey, K., et al. Composition Loss for Counting, Density Map Estimation and Localization in Dense Crowds. ECCV 2018. https://doi.org/10.1007/978-3-030-01216-8_33.</w:t>
      </w:r>
    </w:p>
    <w:p>
      <w:r>
        <w:rPr>
          <w:rFonts w:ascii="Times New Roman" w:hAnsi="Times New Roman"/>
          <w:b w:val="0"/>
          <w:i w:val="0"/>
          <w:sz w:val="20"/>
        </w:rPr>
        <w:t>48. Ljosa, V., Sokolnicki, K. L., Carpenter, A. E. Annotated high-throughput microscopy image sets for validation. Nat. Methods, 2012. https://doi.org/10.1038/nmeth.2083.</w:t>
      </w:r>
    </w:p>
    <w:p>
      <w:r>
        <w:rPr>
          <w:rFonts w:ascii="Times New Roman" w:hAnsi="Times New Roman"/>
          <w:b w:val="0"/>
          <w:i w:val="0"/>
          <w:sz w:val="20"/>
        </w:rPr>
        <w:t>49. Becker, S., Weiss, S., Hübner, W., et al. Self-Aware Object Detection via Degradation Manifolds. preprint arXiv:2602.18394, 2026.</w:t>
      </w:r>
    </w:p>
    <w:p>
      <w:r>
        <w:rPr>
          <w:rFonts w:ascii="Times New Roman" w:hAnsi="Times New Roman"/>
          <w:b w:val="0"/>
          <w:i w:val="0"/>
          <w:sz w:val="20"/>
        </w:rPr>
        <w:t>50. Kumar, D., Darabi, N., Tayebati, S., et al. Beyond Confidence: Adaptive Abstention in Dual-Threshold Conformal Prediction for Autonomous Systems. Proc. 2025 IEEE International Conference on Omni-layer Intelligent Systems. preprint arXiv:2502.07255.</w:t>
      </w:r>
    </w:p>
    <w:p>
      <w:r>
        <w:rPr>
          <w:rFonts w:ascii="Times New Roman" w:hAnsi="Times New Roman"/>
          <w:b w:val="0"/>
          <w:i w:val="0"/>
          <w:sz w:val="20"/>
        </w:rPr>
        <w:t>51. Sindagi, V. A., Yasarla, R., Patel, V. M. JHU-CROWD++: Large-Scale Crowd Counting Dataset and A Benchmark Method. IEEE Trans. Pattern Anal. Mach. Intell., 2020. https://doi.org/10.1109/TPAMI.2020.3035969.</w:t>
      </w:r>
    </w:p>
    <w:p>
      <w:r>
        <w:rPr>
          <w:rFonts w:ascii="Times New Roman" w:hAnsi="Times New Roman"/>
          <w:b w:val="0"/>
          <w:i w:val="0"/>
          <w:sz w:val="20"/>
        </w:rPr>
        <w:t>52. Yuan, J., Li, H., Ding, X., et al. Understanding and Mitigating Numerical Sources of Nondeterminism in LLM Inference. preprint arXiv:2506.09501, 2025.</w:t>
      </w:r>
    </w:p>
    <w:p>
      <w:r>
        <w:rPr>
          <w:rFonts w:ascii="Times New Roman" w:hAnsi="Times New Roman"/>
          <w:b w:val="0"/>
          <w:i w:val="0"/>
          <w:sz w:val="20"/>
        </w:rPr>
        <w:t>53. Fu, T., Martínez, G., Conde, J., et al. Beyond Reproducibility: Token Probabilities Expose Large Language Model Nondeterminism. IEEE Trans. Comput., 2026. preprint arXiv:2601.06118.</w:t>
      </w:r>
    </w:p>
    <w:p>
      <w:r>
        <w:rPr>
          <w:rFonts w:ascii="Times New Roman" w:hAnsi="Times New Roman"/>
          <w:b w:val="0"/>
          <w:i w:val="0"/>
          <w:sz w:val="20"/>
        </w:rPr>
        <w:t>54. Fang, Z., Jiang, Z., Chen, H., et al. Dataset-Level Metrics Attenuate Non-Determinism: A Fine-Grained Non-Determinism Evaluation in Diffusion Language Models. preprint arXiv:2604.13413, 2026.</w:t>
      </w:r>
    </w:p>
    <w:p>
      <w:r>
        <w:rPr>
          <w:rFonts w:ascii="Times New Roman" w:hAnsi="Times New Roman"/>
          <w:b w:val="0"/>
          <w:i w:val="0"/>
          <w:sz w:val="20"/>
        </w:rPr>
        <w:t>55. Mustahsan, Z., Lim, A., Anand, M., et al. Stochasticity in Agentic Evaluations: Quantifying Inconsistency with Intraclass Correlation. preprint arXiv:2512.06710, 2025.</w:t>
      </w:r>
    </w:p>
    <w:p>
      <w:r>
        <w:rPr>
          <w:rFonts w:ascii="Times New Roman" w:hAnsi="Times New Roman"/>
          <w:b w:val="0"/>
          <w:i w:val="0"/>
          <w:sz w:val="20"/>
        </w:rPr>
        <w:t>56. Manski, C. F. Bounding the Accuracy of Diagnostic Tests, With Application to COVID-19 Antibody Tests. Epidemiology 32(2), 2021.</w:t>
      </w:r>
    </w:p>
    <w:p>
      <w:r>
        <w:rPr>
          <w:rFonts w:ascii="Times New Roman" w:hAnsi="Times New Roman"/>
          <w:b w:val="0"/>
          <w:i w:val="0"/>
          <w:sz w:val="20"/>
        </w:rPr>
        <w:t>57. Gonzalez, P., Castano, A., Chawla, N. V., et al. A Review on Quantification Learning. ACM Comput. Surv. 50:5, 2017. https://doi.org/10.1145/3117807.</w:t>
      </w:r>
    </w:p>
    <w:p>
      <w:pPr>
        <w:pStyle w:val="Heading2"/>
      </w:pPr>
      <w:r>
        <w:rPr>
          <w:rFonts w:ascii="Times New Roman" w:hAnsi="Times New Roman"/>
          <w:b/>
          <w:i w:val="0"/>
          <w:sz w:val="24"/>
        </w:rPr>
        <w:t>Supplementary material</w:t>
      </w:r>
    </w:p>
    <w:p>
      <w:r>
        <w:rPr>
          <w:rFonts w:ascii="Times New Roman" w:hAnsi="Times New Roman"/>
          <w:b w:val="0"/>
          <w:i w:val="0"/>
          <w:sz w:val="20"/>
        </w:rPr>
        <w:t xml:space="preserve">Item-level material is in a </w:t>
      </w:r>
      <w:r>
        <w:rPr>
          <w:rFonts w:ascii="Times New Roman" w:hAnsi="Times New Roman"/>
          <w:b/>
          <w:i w:val="0"/>
          <w:sz w:val="20"/>
        </w:rPr>
        <w:t>separate supplementary file</w:t>
      </w:r>
      <w:r>
        <w:rPr>
          <w:rFonts w:ascii="Times New Roman" w:hAnsi="Times New Roman"/>
          <w:b w:val="0"/>
          <w:i w:val="0"/>
          <w:sz w:val="20"/>
        </w:rPr>
        <w:t xml:space="preserve"> (appendices </w:t>
      </w:r>
      <w:r>
        <w:rPr>
          <w:rFonts w:ascii="Times New Roman" w:hAnsi="Times New Roman"/>
          <w:b/>
          <w:i w:val="0"/>
          <w:sz w:val="20"/>
        </w:rPr>
        <w:t>A–M and Z</w:t>
      </w:r>
      <w:r>
        <w:rPr>
          <w:rFonts w:ascii="Times New Roman" w:hAnsi="Times New Roman"/>
          <w:b w:val="0"/>
          <w:i w:val="0"/>
          <w:sz w:val="20"/>
        </w:rPr>
        <w:t>); the main text governs.</w:t>
      </w:r>
    </w:p>
    <w:sectPr w:rsidR="00FC693F" w:rsidRPr="0006063C" w:rsidSect="00034616">
      <w:footerReference w:type="default" r:id="rId9"/>
      <w:pgSz w:w="11906" w:h="16838"/>
      <w:pgMar w:top="2438" w:right="2721" w:bottom="2438" w:left="27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eastAsia="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0" w:after="0" w:line="360" w:lineRule="auto"/>
      <w:outlineLvl w:val="3"/>
    </w:pPr>
    <w:rPr>
      <w:rFonts w:asciiTheme="majorHAnsi" w:eastAsiaTheme="majorEastAsia" w:hAnsiTheme="majorHAnsi" w:cstheme="majorBidi" w:ascii="Times New Roman" w:hAnsi="Times New Roman" w:eastAsia="Times New Roman"/>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