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for counting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w:t>
      </w:r>
      <w:r>
        <w:rPr>
          <w:rFonts w:ascii="Times New Roman" w:hAnsi="Times New Roman"/>
          <w:b/>
          <w:i w:val="0"/>
          <w:sz w:val="20"/>
        </w:rPr>
        <w:t>unweighted</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Appendix M). The gate is the </w:t>
      </w:r>
      <w:r>
        <w:rPr>
          <w:rFonts w:ascii="Times New Roman" w:hAnsi="Times New Roman"/>
          <w:b/>
          <w:i w:val="0"/>
          <w:sz w:val="20"/>
        </w:rPr>
        <w:t>availability of an abstention token</w:t>
      </w:r>
      <w:r>
        <w:rPr>
          <w:rFonts w:ascii="Times New Roman" w:hAnsi="Times New Roman"/>
          <w:b w:val="0"/>
          <w:i w:val="0"/>
          <w:sz w:val="20"/>
        </w:rPr>
        <w:t>, not enumeration demand (Appendix M.18). Abstention is a behaviour, not a capability ceiling: gated by legibility rather than count,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and items), </w:t>
      </w:r>
      <w:r>
        <w:rPr>
          <w:rFonts w:ascii="Times New Roman" w:hAnsi="Times New Roman"/>
          <w:b/>
          <w:i w:val="0"/>
          <w:sz w:val="20"/>
        </w:rPr>
        <w:t>3.5×</w:t>
      </w:r>
      <w:r>
        <w:rPr>
          <w:rFonts w:ascii="Times New Roman" w:hAnsi="Times New Roman"/>
          <w:b w:val="0"/>
          <w:i w:val="0"/>
          <w:sz w:val="20"/>
        </w:rPr>
        <w:t xml:space="preserve"> under a training-domain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Appendix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Object counting is used in surveillance and resource scheduling, where the costs of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w:t>
      </w:r>
      <w:r>
        <w:rPr>
          <w:rFonts w:ascii="Times New Roman" w:hAnsi="Times New Roman"/>
          <w:b/>
          <w:i w:val="0"/>
          <w:sz w:val="20"/>
        </w:rPr>
        <w:t>signed direction</w:t>
      </w:r>
      <w:r>
        <w:rPr>
          <w:rFonts w:ascii="Times New Roman" w:hAnsi="Times New Roman"/>
          <w:b w:val="0"/>
          <w:i w:val="0"/>
          <w:sz w:val="20"/>
        </w:rPr>
        <w:t xml:space="preserve"> of the error has therefore remained implicit. Our first question is: </w:t>
      </w:r>
      <w:r>
        <w:rPr>
          <w:rFonts w:ascii="Times New Roman" w:hAnsi="Times New Roman"/>
          <w:b w:val="0"/>
          <w:i/>
          <w:sz w:val="20"/>
        </w:rPr>
        <w:t>can the error direction of a counting system be manipulated systematically, and what determines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answering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the share spans </w:t>
      </w:r>
      <w:r>
        <w:rPr>
          <w:rFonts w:ascii="Times New Roman" w:hAnsi="Times New Roman"/>
          <w:b/>
          <w:i w:val="0"/>
          <w:sz w:val="20"/>
        </w:rPr>
        <w:t>0–99.4%</w:t>
      </w:r>
      <w:r>
        <w:rPr>
          <w:rFonts w:ascii="Times New Roman" w:hAnsi="Times New Roman"/>
          <w:b w:val="0"/>
          <w:i w:val="0"/>
          <w:sz w:val="20"/>
        </w:rPr>
        <w:t xml:space="preserve"> — the </w:t>
      </w:r>
      <w:r>
        <w:rPr>
          <w:rFonts w:ascii="Times New Roman" w:hAnsi="Times New Roman"/>
          <w:b w:val="0"/>
          <w:i/>
          <w:sz w:val="20"/>
        </w:rPr>
        <w:t>over</w:t>
      </w:r>
      <w:r>
        <w:rPr>
          <w:rFonts w:ascii="Times New Roman" w:hAnsi="Times New Roman"/>
          <w:b w:val="0"/>
          <w:i w:val="0"/>
          <w:sz w:val="20"/>
        </w:rPr>
        <w:t xml:space="preserve"> arm never abstains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val="0"/>
          <w:i w:val="0"/>
          <w:sz w:val="20"/>
        </w:rPr>
        <w:t>The distinction changes three things.</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under conventional aggregation, as </w:t>
      </w:r>
      <w:r>
        <w:rPr>
          <w:rFonts w:ascii="Times New Roman" w:hAnsi="Times New Roman"/>
          <w:b w:val="0"/>
          <w:i/>
          <w:sz w:val="20"/>
        </w:rPr>
        <w:t>mild underestimation</w:t>
      </w:r>
      <w:r>
        <w:rPr>
          <w:rFonts w:ascii="Times New Roman" w:hAnsi="Times New Roman"/>
          <w:b w:val="0"/>
          <w:i w:val="0"/>
          <w:sz w:val="20"/>
        </w:rPr>
        <w:t xml:space="preserve"> — whereas on six images in ten it produces </w:t>
      </w:r>
      <w:r>
        <w:rPr>
          <w:rFonts w:ascii="Times New Roman" w:hAnsi="Times New Roman"/>
          <w:b/>
          <w:i w:val="0"/>
          <w:sz w:val="20"/>
        </w:rPr>
        <w:t>no estimate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 to correct.</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they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on which to build a rejection rule. The framework cannot be transplanted directly — abstention must first be </w:t>
      </w:r>
      <w:r>
        <w:rPr>
          <w:rFonts w:ascii="Times New Roman" w:hAnsi="Times New Roman"/>
          <w:b/>
          <w:i w:val="0"/>
          <w:sz w:val="20"/>
        </w:rPr>
        <w:t>operationalised and that operationalisation validated</w:t>
      </w:r>
      <w:r>
        <w:rPr>
          <w:rFonts w:ascii="Times New Roman" w:hAnsi="Times New Roman"/>
          <w:b w:val="0"/>
          <w:i w:val="0"/>
          <w:sz w:val="20"/>
        </w:rPr>
        <w:t xml:space="preserve"> in the counting domain (§3.6, Proposition 1) — and it was this step that exposed the problem with the received reading.</w:t>
      </w:r>
    </w:p>
    <w:p>
      <w:r>
        <w:rPr>
          <w:rFonts w:ascii="Times New Roman" w:hAnsi="Times New Roman"/>
          <w:b/>
          <w:i w:val="0"/>
          <w:sz w:val="20"/>
        </w:rPr>
        <w:t>Four properties of abstention (main results).</w:t>
      </w:r>
      <w:r>
        <w:rPr>
          <w:rFonts w:ascii="Times New Roman" w:hAnsi="Times New Roman"/>
          <w:b w:val="0"/>
          <w:i w:val="0"/>
          <w:sz w:val="20"/>
        </w:rPr>
        <w:t xml:space="preserve"> </w:t>
      </w:r>
      <w:r>
        <w:rPr>
          <w:rFonts w:ascii="Times New Roman" w:hAnsi="Times New Roman"/>
          <w:b/>
          <w:i w:val="0"/>
          <w:sz w:val="20"/>
        </w:rPr>
        <w:t>① Measurable, with a lineage-specific expression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if a lineage abstained mainly in natural language, its ratio of answered-zero to textual refusal would approach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43%</w:t>
      </w:r>
      <w:r>
        <w:rPr>
          <w:rFonts w:ascii="Times New Roman" w:hAnsi="Times New Roman"/>
          <w:b w:val="0"/>
          <w:i w:val="0"/>
          <w:sz w:val="20"/>
        </w:rPr>
        <w:t xml:space="preserve">, and in microscopy abstention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because it is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We present the identities of §3.8 and the appendices as </w:t>
      </w:r>
      <w:r>
        <w:rPr>
          <w:rFonts w:ascii="Times New Roman" w:hAnsi="Times New Roman"/>
          <w:b/>
          <w:i w:val="0"/>
          <w:sz w:val="20"/>
        </w:rPr>
        <w:t>that apparatus</w:t>
      </w:r>
      <w:r>
        <w:rPr>
          <w:rFonts w:ascii="Times New Roman" w:hAnsi="Times New Roman"/>
          <w:b w:val="0"/>
          <w:i w:val="0"/>
          <w:sz w:val="20"/>
        </w:rPr>
        <w:t xml:space="preserve">, not as findings: they are arithmetic, and their role is that every headline number is either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one of the seven having offered only </w:t>
      </w:r>
      <w:r>
        <w:rPr>
          <w:rFonts w:ascii="Times New Roman" w:hAnsi="Times New Roman"/>
          <w:b/>
          <w:i w:val="0"/>
          <w:sz w:val="20"/>
        </w:rPr>
        <w:t>9 zeros</w:t>
      </w:r>
      <w:r>
        <w:rPr>
          <w:rFonts w:ascii="Times New Roman" w:hAnsi="Times New Roman"/>
          <w:b w:val="0"/>
          <w:i w:val="0"/>
          <w:sz w:val="20"/>
        </w:rPr>
        <w:t xml:space="preserve"> to remove.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 </w:t>
      </w:r>
      <w:r>
        <w:rPr>
          <w:rFonts w:ascii="Times New Roman" w:hAnsi="Times New Roman"/>
          <w:b/>
          <w:i w:val="0"/>
          <w:sz w:val="20"/>
        </w:rPr>
        <w:t>one</w:t>
      </w:r>
      <w:r>
        <w:rPr>
          <w:rFonts w:ascii="Times New Roman" w:hAnsi="Times New Roman"/>
          <w:b w:val="0"/>
          <w:i w:val="0"/>
          <w:sz w:val="20"/>
        </w:rPr>
        <w:t xml:space="preserve"> build — the one that defined the pool;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 What each does not cover is in §8.</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that item-level reproducibility for a hosted API is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w:t>
      </w:r>
    </w:p>
    <w:p>
      <w:r>
        <w:rPr>
          <w:rFonts w:ascii="Times New Roman" w:hAnsi="Times New Roman"/>
          <w:b w:val="0"/>
          <w:i w:val="0"/>
          <w:sz w:val="20"/>
        </w:rPr>
        <w:t>(Appendix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the </w:t>
      </w:r>
      <w:r>
        <w:rPr>
          <w:rFonts w:ascii="Times New Roman" w:hAnsi="Times New Roman"/>
          <w:b w:val="0"/>
          <w:i/>
          <w:sz w:val="20"/>
        </w:rPr>
        <w:t>base</w:t>
      </w:r>
      <w:r>
        <w:rPr>
          <w:rFonts w:ascii="Times New Roman" w:hAnsi="Times New Roman"/>
          <w:b w:val="0"/>
          <w:i w:val="0"/>
          <w:sz w:val="20"/>
        </w:rPr>
        <w:t xml:space="preserve"> contract three of four builds answer zero on </w:t>
      </w:r>
      <w:r>
        <w:rPr>
          <w:rFonts w:ascii="Times New Roman" w:hAnsi="Times New Roman"/>
          <w:b/>
          <w:i w:val="0"/>
          <w:sz w:val="20"/>
        </w:rPr>
        <w:t>98–100%</w:t>
      </w:r>
      <w:r>
        <w:rPr>
          <w:rFonts w:ascii="Times New Roman" w:hAnsi="Times New Roman"/>
          <w:b w:val="0"/>
          <w:i w:val="0"/>
          <w:sz w:val="20"/>
        </w:rPr>
        <w:t xml:space="preserve"> of the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pool's items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the list is in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r>
        <w:rPr>
          <w:rFonts w:ascii="Times New Roman" w:hAnsi="Times New Roman"/>
          <w:b w:val="0"/>
          <w:i w:val="0"/>
          <w:sz w:val="20"/>
        </w:rPr>
        <w:t>(Appendix E)</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(unweighted)</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abstention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43%</w:t>
      </w:r>
      <w:r>
        <w:rPr>
          <w:rFonts w:ascii="Times New Roman" w:hAnsi="Times New Roman"/>
          <w:b w:val="0"/>
          <w:i w:val="0"/>
          <w:sz w:val="20"/>
        </w:rPr>
        <w:t xml:space="preserve"> in relative deviation (not an abstention share; Appendix C.3)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43%</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and we report it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 label-permutation test gives p&lt;5×10^-5; leaving out any single knob keeps it at </w:t>
      </w:r>
      <w:r>
        <w:rPr>
          <w:rFonts w:ascii="Times New Roman" w:hAnsi="Times New Roman"/>
          <w:b/>
          <w:i w:val="0"/>
          <w:sz w:val="20"/>
        </w:rPr>
        <w:t>0.883–0.970</w:t>
      </w:r>
      <w:r>
        <w:rPr>
          <w:rFonts w:ascii="Times New Roman" w:hAnsi="Times New Roman"/>
          <w:b w:val="0"/>
          <w:i w:val="0"/>
          <w:sz w:val="20"/>
        </w:rPr>
        <w:t xml:space="preserve">; per-unit spans with their own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w:t>
      </w:r>
      <w:r>
        <w:rPr>
          <w:rFonts w:ascii="Times New Roman" w:hAnsi="Times New Roman"/>
          <w:b/>
          <w:i w:val="0"/>
          <w:sz w:val="20"/>
        </w:rPr>
        <w:t>not</w:t>
      </w:r>
      <w:r>
        <w:rPr>
          <w:rFonts w:ascii="Times New Roman" w:hAnsi="Times New Roman"/>
          <w:b w:val="0"/>
          <w:i w:val="0"/>
          <w:sz w:val="20"/>
        </w:rPr>
        <w:t xml:space="preserve">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0.548</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per-knob </w:t>
      </w:r>
      <w:r>
        <w:rPr>
          <w:rFonts w:ascii="Times New Roman" w:hAnsi="Times New Roman"/>
          <w:b/>
          <w:i w:val="0"/>
          <w:sz w:val="20"/>
        </w:rPr>
        <w:t>0.790</w:t>
      </w:r>
      <w:r>
        <w:rPr>
          <w:rFonts w:ascii="Times New Roman" w:hAnsi="Times New Roman"/>
          <w:b w:val="0"/>
          <w:i w:val="0"/>
          <w:sz w:val="20"/>
        </w:rPr>
        <w:t xml:space="preserve">, per-unit </w:t>
      </w:r>
      <w:r>
        <w:rPr>
          <w:rFonts w:ascii="Times New Roman" w:hAnsi="Times New Roman"/>
          <w:b/>
          <w:i w:val="0"/>
          <w:sz w:val="20"/>
        </w:rPr>
        <w:t>0.536</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disclosed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are itemised there, one of them a dead parse branch; </w:t>
      </w:r>
      <w:r>
        <w:rPr>
          <w:rFonts w:ascii="Times New Roman" w:hAnsi="Times New Roman"/>
          <w:b/>
          <w:i w:val="0"/>
          <w:sz w:val="20"/>
        </w:rPr>
        <w:t>Run-to-run non-determinism</w:t>
      </w:r>
      <w:r>
        <w:rPr>
          <w:rFonts w:ascii="Times New Roman" w:hAnsi="Times New Roman"/>
          <w:b w:val="0"/>
          <w:i w:val="0"/>
          <w:sz w:val="20"/>
        </w:rPr>
        <w:t xml:space="preserve"> is characterised below; </w:t>
      </w:r>
      <w:r>
        <w:rPr>
          <w:rFonts w:ascii="Times New Roman" w:hAnsi="Times New Roman"/>
          <w:b/>
          <w:i w:val="0"/>
          <w:sz w:val="20"/>
        </w:rPr>
        <w:t>Graded isolation</w:t>
      </w:r>
      <w:r>
        <w:rPr>
          <w:rFonts w:ascii="Times New Roman" w:hAnsi="Times New Roman"/>
          <w:b w:val="0"/>
          <w:i w:val="0"/>
          <w:sz w:val="20"/>
        </w:rPr>
        <w:t xml:space="preserve"> carries a residue ledger; </w:t>
      </w:r>
      <w:r>
        <w:rPr>
          <w:rFonts w:ascii="Times New Roman" w:hAnsi="Times New Roman"/>
          <w:b/>
          <w:i w:val="0"/>
          <w:sz w:val="20"/>
        </w:rPr>
        <w:t>a census of anomalous predictions</w:t>
      </w:r>
      <w:r>
        <w:rPr>
          <w:rFonts w:ascii="Times New Roman" w:hAnsi="Times New Roman"/>
          <w:b w:val="0"/>
          <w:i w:val="0"/>
          <w:sz w:val="20"/>
        </w:rPr>
        <w:t xml:space="preserve"> records what the graded tiers hold; </w:t>
      </w:r>
      <w:r>
        <w:rPr>
          <w:rFonts w:ascii="Times New Roman" w:hAnsi="Times New Roman"/>
          <w:b/>
          <w:i w:val="0"/>
          <w:sz w:val="20"/>
        </w:rPr>
        <w:t>No attention-based criterion</w:t>
      </w:r>
      <w:r>
        <w:rPr>
          <w:rFonts w:ascii="Times New Roman" w:hAnsi="Times New Roman"/>
          <w:b w:val="0"/>
          <w:i w:val="0"/>
          <w:sz w:val="20"/>
        </w:rPr>
        <w:t xml:space="preserve"> is available to us; and </w:t>
      </w:r>
      <w:r>
        <w:rPr>
          <w:rFonts w:ascii="Times New Roman" w:hAnsi="Times New Roman"/>
          <w:b/>
          <w:i w:val="0"/>
          <w:sz w:val="20"/>
        </w:rPr>
        <w:t>Per-cell intervals are lower bounds</w:t>
      </w:r>
      <w:r>
        <w:rPr>
          <w:rFonts w:ascii="Times New Roman" w:hAnsi="Times New Roman"/>
          <w:b w:val="0"/>
          <w:i w:val="0"/>
          <w:sz w:val="20"/>
        </w:rPr>
        <w:t xml:space="preserve">, because where a cell has few levels the across-repeat term can </w:t>
      </w:r>
      <w:r>
        <w:rPr>
          <w:rFonts w:ascii="Times New Roman" w:hAnsi="Times New Roman"/>
          <w:b/>
          <w:i w:val="0"/>
          <w:sz w:val="20"/>
        </w:rPr>
        <w:t>exceed the interval width itself</w:t>
      </w:r>
      <w:r>
        <w:rPr>
          <w:rFonts w:ascii="Times New Roman" w:hAnsi="Times New Roman"/>
          <w:b w:val="0"/>
          <w:i w:val="0"/>
          <w:sz w:val="20"/>
        </w:rPr>
        <w:t xml:space="preserve"> — by roughly a factor of two (§A.2). None of the aggregates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not to the lineage (six of seven further families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from the same experiment: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reported as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were assembled to span a legibility range rather than sampled from a stated population, so domain-level statements describe these domains and are not estimates over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Zheng, S., et al. The Uncontrolled Variable: Vision-Language Model Refusal Responds to Image Presence in Ways Risk Cannot Explain.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VLMs.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