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云端人脸签到系统简要设计文档</w:t>
      </w:r>
    </w:p>
    <w:p>
      <w:pPr>
        <w:pStyle w:val="Heading1"/>
      </w:pPr>
      <w:r>
        <w:t>一 项目目标与范围</w:t>
      </w:r>
    </w:p>
    <w:p>
      <w:r>
        <w:t>本项目拟实现面向课程和班级的云端人脸签到系统。管理员为一次课程选择班级并设置签到起止时间，学生打开该场次的手机页面，无需登录即可拍照签到。服务器识别人脸、核对场次名单和时间窗口后保存记录并反馈结果。系统采用 H5、FastAPI、MySQL 和独立识别 worker，支持注册录入、登录、退出登录、照片库管理、场次管理和签到记录查询。</w:t>
      </w:r>
    </w:p>
    <w:p>
      <w:pPr>
        <w:pStyle w:val="Heading2"/>
      </w:pPr>
      <w:r>
        <w:t>小组成员</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268"/>
      </w:tblGrid>
      <w:tr>
        <w:trPr>
          <w:cantSplit/>
          <w:tblHeader/>
        </w:trPr>
        <w:tc>
          <w:tcPr>
            <w:tcW w:type="dxa" w:w="2948"/>
            <w:vAlign w:val="center"/>
            <w:tcMar>
              <w:top w:w="50" w:type="dxa"/>
              <w:bottom w:w="50" w:type="dxa"/>
              <w:left w:w="85" w:type="dxa"/>
              <w:right w:w="85" w:type="dxa"/>
            </w:tcMar>
            <w:shd w:fill="E9EEF2"/>
          </w:tcPr>
          <w:p>
            <w:pPr>
              <w:spacing w:before="30" w:after="30" w:line="259" w:lineRule="auto"/>
              <w:jc w:val="center"/>
            </w:pPr>
            <w:r>
              <w:rPr>
                <w:b/>
                <w:color w:val="000000"/>
                <w:sz w:val="18"/>
              </w:rPr>
              <w:t>学号</w:t>
            </w:r>
          </w:p>
        </w:tc>
        <w:tc>
          <w:tcPr>
            <w:tcW w:type="dxa" w:w="2268"/>
            <w:vAlign w:val="center"/>
            <w:tcMar>
              <w:top w:w="50" w:type="dxa"/>
              <w:bottom w:w="50" w:type="dxa"/>
              <w:left w:w="85" w:type="dxa"/>
              <w:right w:w="85" w:type="dxa"/>
            </w:tcMar>
            <w:shd w:fill="E9EEF2"/>
          </w:tcPr>
          <w:p>
            <w:pPr>
              <w:spacing w:before="30" w:after="30" w:line="259" w:lineRule="auto"/>
              <w:jc w:val="center"/>
            </w:pPr>
            <w:r>
              <w:rPr>
                <w:b/>
                <w:color w:val="000000"/>
                <w:sz w:val="18"/>
              </w:rPr>
              <w:t>姓名</w:t>
            </w:r>
          </w:p>
        </w:tc>
      </w:tr>
      <w:tr>
        <w:trPr>
          <w:cantSplit/>
        </w:trPr>
        <w:tc>
          <w:tcPr>
            <w:tcW w:type="dxa" w:w="2948"/>
            <w:vAlign w:val="center"/>
            <w:tcMar>
              <w:top w:w="50" w:type="dxa"/>
              <w:bottom w:w="50" w:type="dxa"/>
              <w:left w:w="85" w:type="dxa"/>
              <w:right w:w="85" w:type="dxa"/>
            </w:tcMar>
          </w:tcPr>
          <w:p>
            <w:pPr>
              <w:spacing w:before="30" w:after="30" w:line="259" w:lineRule="auto"/>
              <w:jc w:val="center"/>
            </w:pPr>
            <w:r>
              <w:rPr>
                <w:b w:val="0"/>
                <w:color w:val="000000"/>
                <w:sz w:val="18"/>
              </w:rPr>
              <w:t>241098131</w:t>
            </w:r>
          </w:p>
        </w:tc>
        <w:tc>
          <w:tcPr>
            <w:tcW w:type="dxa" w:w="2268"/>
            <w:vAlign w:val="center"/>
            <w:tcMar>
              <w:top w:w="50" w:type="dxa"/>
              <w:bottom w:w="50" w:type="dxa"/>
              <w:left w:w="85" w:type="dxa"/>
              <w:right w:w="85" w:type="dxa"/>
            </w:tcMar>
          </w:tcPr>
          <w:p>
            <w:pPr>
              <w:spacing w:before="30" w:after="30" w:line="259" w:lineRule="auto"/>
              <w:jc w:val="center"/>
            </w:pPr>
            <w:r>
              <w:rPr>
                <w:b w:val="0"/>
                <w:color w:val="000000"/>
                <w:sz w:val="18"/>
              </w:rPr>
              <w:t>李承垚</w:t>
            </w:r>
          </w:p>
        </w:tc>
      </w:tr>
      <w:tr>
        <w:trPr>
          <w:cantSplit/>
        </w:trPr>
        <w:tc>
          <w:tcPr>
            <w:tcW w:type="dxa" w:w="2948"/>
            <w:vAlign w:val="center"/>
            <w:tcMar>
              <w:top w:w="50" w:type="dxa"/>
              <w:bottom w:w="50" w:type="dxa"/>
              <w:left w:w="85" w:type="dxa"/>
              <w:right w:w="85" w:type="dxa"/>
            </w:tcMar>
          </w:tcPr>
          <w:p>
            <w:pPr>
              <w:spacing w:before="30" w:after="30" w:line="259" w:lineRule="auto"/>
              <w:jc w:val="center"/>
            </w:pPr>
            <w:r>
              <w:rPr>
                <w:b w:val="0"/>
                <w:color w:val="000000"/>
                <w:sz w:val="18"/>
              </w:rPr>
              <w:t>241051006</w:t>
            </w:r>
          </w:p>
        </w:tc>
        <w:tc>
          <w:tcPr>
            <w:tcW w:type="dxa" w:w="2268"/>
            <w:vAlign w:val="center"/>
            <w:tcMar>
              <w:top w:w="50" w:type="dxa"/>
              <w:bottom w:w="50" w:type="dxa"/>
              <w:left w:w="85" w:type="dxa"/>
              <w:right w:w="85" w:type="dxa"/>
            </w:tcMar>
          </w:tcPr>
          <w:p>
            <w:pPr>
              <w:spacing w:before="30" w:after="30" w:line="259" w:lineRule="auto"/>
              <w:jc w:val="center"/>
            </w:pPr>
            <w:r>
              <w:rPr>
                <w:b w:val="0"/>
                <w:color w:val="000000"/>
                <w:sz w:val="18"/>
              </w:rPr>
              <w:t>陈泽昊</w:t>
            </w:r>
          </w:p>
        </w:tc>
      </w:tr>
      <w:tr>
        <w:trPr>
          <w:cantSplit/>
        </w:trPr>
        <w:tc>
          <w:tcPr>
            <w:tcW w:type="dxa" w:w="2948"/>
            <w:vAlign w:val="center"/>
            <w:tcMar>
              <w:top w:w="50" w:type="dxa"/>
              <w:bottom w:w="50" w:type="dxa"/>
              <w:left w:w="85" w:type="dxa"/>
              <w:right w:w="85" w:type="dxa"/>
            </w:tcMar>
          </w:tcPr>
          <w:p>
            <w:pPr>
              <w:spacing w:before="30" w:after="30" w:line="259" w:lineRule="auto"/>
              <w:jc w:val="center"/>
            </w:pPr>
            <w:r>
              <w:rPr>
                <w:b w:val="0"/>
                <w:color w:val="000000"/>
                <w:sz w:val="18"/>
              </w:rPr>
              <w:t>241051011</w:t>
            </w:r>
          </w:p>
        </w:tc>
        <w:tc>
          <w:tcPr>
            <w:tcW w:type="dxa" w:w="2268"/>
            <w:vAlign w:val="center"/>
            <w:tcMar>
              <w:top w:w="50" w:type="dxa"/>
              <w:bottom w:w="50" w:type="dxa"/>
              <w:left w:w="85" w:type="dxa"/>
              <w:right w:w="85" w:type="dxa"/>
            </w:tcMar>
          </w:tcPr>
          <w:p>
            <w:pPr>
              <w:spacing w:before="30" w:after="30" w:line="259" w:lineRule="auto"/>
              <w:jc w:val="center"/>
            </w:pPr>
            <w:r>
              <w:rPr>
                <w:b w:val="0"/>
                <w:color w:val="000000"/>
                <w:sz w:val="18"/>
              </w:rPr>
              <w:t>何翌闻</w:t>
            </w:r>
          </w:p>
        </w:tc>
      </w:tr>
      <w:tr>
        <w:trPr>
          <w:cantSplit/>
        </w:trPr>
        <w:tc>
          <w:tcPr>
            <w:tcW w:type="dxa" w:w="2948"/>
            <w:vAlign w:val="center"/>
            <w:tcMar>
              <w:top w:w="50" w:type="dxa"/>
              <w:bottom w:w="50" w:type="dxa"/>
              <w:left w:w="85" w:type="dxa"/>
              <w:right w:w="85" w:type="dxa"/>
            </w:tcMar>
          </w:tcPr>
          <w:p>
            <w:pPr>
              <w:spacing w:before="30" w:after="30" w:line="259" w:lineRule="auto"/>
              <w:jc w:val="center"/>
            </w:pPr>
            <w:r>
              <w:rPr>
                <w:b w:val="0"/>
                <w:color w:val="000000"/>
                <w:sz w:val="18"/>
              </w:rPr>
              <w:t>241276025</w:t>
            </w:r>
          </w:p>
        </w:tc>
        <w:tc>
          <w:tcPr>
            <w:tcW w:type="dxa" w:w="2268"/>
            <w:vAlign w:val="center"/>
            <w:tcMar>
              <w:top w:w="50" w:type="dxa"/>
              <w:bottom w:w="50" w:type="dxa"/>
              <w:left w:w="85" w:type="dxa"/>
              <w:right w:w="85" w:type="dxa"/>
            </w:tcMar>
          </w:tcPr>
          <w:p>
            <w:pPr>
              <w:spacing w:before="30" w:after="30" w:line="259" w:lineRule="auto"/>
              <w:jc w:val="center"/>
            </w:pPr>
            <w:r>
              <w:rPr>
                <w:b w:val="0"/>
                <w:color w:val="000000"/>
                <w:sz w:val="18"/>
              </w:rPr>
              <w:t>陈旭枫</w:t>
            </w:r>
          </w:p>
        </w:tc>
      </w:tr>
    </w:tbl>
    <w:p>
      <w:pPr>
        <w:spacing w:after="20" w:line="240" w:lineRule="auto"/>
      </w:pPr>
      <w:r>
        <w:rPr>
          <w:sz w:val="4"/>
        </w:rPr>
      </w:r>
    </w:p>
    <w:p>
      <w:pPr>
        <w:pStyle w:val="Heading2"/>
      </w:pPr>
      <w:r>
        <w:t>功能与权限</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969"/>
        <w:gridCol w:w="4535"/>
      </w:tblGrid>
      <w:tr>
        <w:trPr>
          <w:cantSplit/>
          <w:tblHeader/>
        </w:trPr>
        <w:tc>
          <w:tcPr>
            <w:tcW w:type="dxa" w:w="1361"/>
            <w:vAlign w:val="center"/>
            <w:tcMar>
              <w:top w:w="50" w:type="dxa"/>
              <w:bottom w:w="50" w:type="dxa"/>
              <w:left w:w="85" w:type="dxa"/>
              <w:right w:w="85" w:type="dxa"/>
            </w:tcMar>
            <w:shd w:fill="E9EEF2"/>
          </w:tcPr>
          <w:p>
            <w:pPr>
              <w:spacing w:before="30" w:after="30" w:line="259" w:lineRule="auto"/>
            </w:pPr>
            <w:r>
              <w:rPr>
                <w:b/>
                <w:color w:val="000000"/>
                <w:sz w:val="18"/>
              </w:rPr>
              <w:t>身份</w:t>
            </w:r>
          </w:p>
        </w:tc>
        <w:tc>
          <w:tcPr>
            <w:tcW w:type="dxa" w:w="3969"/>
            <w:vAlign w:val="center"/>
            <w:tcMar>
              <w:top w:w="50" w:type="dxa"/>
              <w:bottom w:w="50" w:type="dxa"/>
              <w:left w:w="85" w:type="dxa"/>
              <w:right w:w="85" w:type="dxa"/>
            </w:tcMar>
            <w:shd w:fill="E9EEF2"/>
          </w:tcPr>
          <w:p>
            <w:pPr>
              <w:spacing w:before="30" w:after="30" w:line="259" w:lineRule="auto"/>
            </w:pPr>
            <w:r>
              <w:rPr>
                <w:b/>
                <w:color w:val="000000"/>
                <w:sz w:val="18"/>
              </w:rPr>
              <w:t>可执行操作</w:t>
            </w:r>
          </w:p>
        </w:tc>
        <w:tc>
          <w:tcPr>
            <w:tcW w:type="dxa" w:w="4535"/>
            <w:vAlign w:val="center"/>
            <w:tcMar>
              <w:top w:w="50" w:type="dxa"/>
              <w:bottom w:w="50" w:type="dxa"/>
              <w:left w:w="85" w:type="dxa"/>
              <w:right w:w="85" w:type="dxa"/>
            </w:tcMar>
            <w:shd w:fill="E9EEF2"/>
          </w:tcPr>
          <w:p>
            <w:pPr>
              <w:spacing w:before="30" w:after="30" w:line="259" w:lineRule="auto"/>
            </w:pPr>
            <w:r>
              <w:rPr>
                <w:b/>
                <w:color w:val="000000"/>
                <w:sz w:val="18"/>
              </w:rPr>
              <w:t>访问边界</w:t>
            </w:r>
          </w:p>
        </w:tc>
      </w:tr>
      <w:tr>
        <w:trPr>
          <w:cantSplit/>
        </w:trPr>
        <w:tc>
          <w:tcPr>
            <w:tcW w:type="dxa" w:w="1361"/>
            <w:vAlign w:val="center"/>
            <w:tcMar>
              <w:top w:w="50" w:type="dxa"/>
              <w:bottom w:w="50" w:type="dxa"/>
              <w:left w:w="85" w:type="dxa"/>
              <w:right w:w="85" w:type="dxa"/>
            </w:tcMar>
          </w:tcPr>
          <w:p>
            <w:pPr>
              <w:spacing w:before="30" w:after="30" w:line="259" w:lineRule="auto"/>
            </w:pPr>
            <w:r>
              <w:rPr>
                <w:b w:val="0"/>
                <w:color w:val="000000"/>
                <w:sz w:val="18"/>
              </w:rPr>
              <w:t>未登录访客</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注册、登录、打开场次页面、拍照签到、查询本次任务结果</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只提交场次标识和照片，不读取名单、照片库及历史记录</w:t>
            </w:r>
          </w:p>
        </w:tc>
      </w:tr>
      <w:tr>
        <w:trPr>
          <w:cantSplit/>
        </w:trPr>
        <w:tc>
          <w:tcPr>
            <w:tcW w:type="dxa" w:w="1361"/>
            <w:vAlign w:val="center"/>
            <w:tcMar>
              <w:top w:w="50" w:type="dxa"/>
              <w:bottom w:w="50" w:type="dxa"/>
              <w:left w:w="85" w:type="dxa"/>
              <w:right w:w="85" w:type="dxa"/>
            </w:tcMar>
          </w:tcPr>
          <w:p>
            <w:pPr>
              <w:spacing w:before="30" w:after="30" w:line="259" w:lineRule="auto"/>
            </w:pPr>
            <w:r>
              <w:rPr>
                <w:b w:val="0"/>
                <w:color w:val="000000"/>
                <w:sz w:val="18"/>
              </w:rPr>
              <w:t>普通用户</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退出登录、维护本人标准照、查看本人签到记录</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服务器校验资源所属用户</w:t>
            </w:r>
          </w:p>
        </w:tc>
      </w:tr>
      <w:tr>
        <w:trPr>
          <w:cantSplit/>
        </w:trPr>
        <w:tc>
          <w:tcPr>
            <w:tcW w:type="dxa" w:w="1361"/>
            <w:vAlign w:val="center"/>
            <w:tcMar>
              <w:top w:w="50" w:type="dxa"/>
              <w:bottom w:w="50" w:type="dxa"/>
              <w:left w:w="85" w:type="dxa"/>
              <w:right w:w="85" w:type="dxa"/>
            </w:tcMar>
          </w:tcPr>
          <w:p>
            <w:pPr>
              <w:spacing w:before="30" w:after="30" w:line="259" w:lineRule="auto"/>
            </w:pPr>
            <w:r>
              <w:rPr>
                <w:b w:val="0"/>
                <w:color w:val="000000"/>
                <w:sz w:val="18"/>
              </w:rPr>
              <w:t>管理员</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管理照片库、创建班级签到场次、查看场次名单与签到统计</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部署初始化创建，公开注册只能创建普通用户</w:t>
            </w:r>
          </w:p>
        </w:tc>
      </w:tr>
    </w:tbl>
    <w:p>
      <w:pPr>
        <w:spacing w:after="20" w:line="240" w:lineRule="auto"/>
      </w:pPr>
      <w:r>
        <w:rPr>
          <w:sz w:val="4"/>
        </w:rPr>
      </w:r>
    </w:p>
    <w:p>
      <w:r>
        <w:t>注册填写姓名、学号和密码，从已有班级中选择所属班级，并上传标准人脸照片；班级由管理员维护。注册成功必须同时满足账户创建和可用人脸录入成功，同一学号不能重复注册。“注销”在本版中指退出登录，不删除账户。</w:t>
      </w:r>
    </w:p>
    <w:p>
      <w:r>
        <w:t>每次课程创建独立签到场次，填写课程或场次名称、目标班级、开始时间和结束时间。同一人员在同一场次最多签到成功一次，重复提交返回“本场次已签到”；同一天的不同场次分别记账。签到身份只由服务器人脸检索确定，与设备、登录账号及客户端传入的人员编号无关。</w:t>
      </w:r>
    </w:p>
    <w:p>
      <w:r>
        <w:t>管理员可查看该场次应到、已签到和未签到人员。未录入人员及非名单成员不得签到；系统仅在场次有效时间内接收新签到请求，已接收的任务可在截止后完成。场次名单以创建时该班级已注册且有效的人员为准，创建后不随转班或新注册自动变化。</w:t>
      </w:r>
    </w:p>
    <w:p>
      <w:r>
        <w:t>首次提交说明设计与实施计划；模型准确率、处理时延和并发容量通过后续实测获得。三周内优先完成完整功能与并发验证，活体检测、多机部署和独立向量数据库不列入本版范围。</w:t>
      </w:r>
    </w:p>
    <w:p>
      <w:r>
        <w:br w:type="page"/>
      </w:r>
    </w:p>
    <w:p>
      <w:pPr>
        <w:pStyle w:val="Heading1"/>
      </w:pPr>
      <w:r>
        <w:t>二 总体架构与技术选型</w:t>
      </w:r>
    </w:p>
    <w:p>
      <w:pPr>
        <w:jc w:val="center"/>
      </w:pPr>
      <w:r>
        <w:drawing>
          <wp:inline xmlns:a="http://schemas.openxmlformats.org/drawingml/2006/main" xmlns:pic="http://schemas.openxmlformats.org/drawingml/2006/picture">
            <wp:extent cx="6263999" cy="2274821"/>
            <wp:docPr id="1" name="Picture 1" descr="手机经公网访问云端 API，任务经 Redis 交给识别 worker，MySQL 保存场次、名单、特征及签到记录。"/>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63999" cy="2274821"/>
                    </a:xfrm>
                    <a:prstGeom prst="rect"/>
                  </pic:spPr>
                </pic:pic>
              </a:graphicData>
            </a:graphic>
          </wp:inline>
        </w:drawing>
      </w:r>
    </w:p>
    <w:p>
      <w:pPr>
        <w:pStyle w:val="Caption"/>
      </w:pPr>
      <w:r>
        <w:t>图 1 手机通过公网访问云服务器，识别任务交由 worker 执行。MySQL 保存业务数据，Redis 传递任务；API 与 worker 共享照片目录。</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3515"/>
        <w:gridCol w:w="5046"/>
      </w:tblGrid>
      <w:tr>
        <w:trPr>
          <w:cantSplit/>
          <w:tblHeader/>
        </w:trPr>
        <w:tc>
          <w:tcPr>
            <w:tcW w:type="dxa" w:w="1304"/>
            <w:vAlign w:val="center"/>
            <w:tcMar>
              <w:top w:w="50" w:type="dxa"/>
              <w:bottom w:w="50" w:type="dxa"/>
              <w:left w:w="85" w:type="dxa"/>
              <w:right w:w="85" w:type="dxa"/>
            </w:tcMar>
            <w:shd w:fill="E9EEF2"/>
          </w:tcPr>
          <w:p>
            <w:pPr>
              <w:spacing w:before="30" w:after="30" w:line="259" w:lineRule="auto"/>
            </w:pPr>
            <w:r>
              <w:rPr>
                <w:b/>
                <w:color w:val="000000"/>
                <w:sz w:val="18"/>
              </w:rPr>
              <w:t>层次</w:t>
            </w:r>
          </w:p>
        </w:tc>
        <w:tc>
          <w:tcPr>
            <w:tcW w:type="dxa" w:w="3515"/>
            <w:vAlign w:val="center"/>
            <w:tcMar>
              <w:top w:w="50" w:type="dxa"/>
              <w:bottom w:w="50" w:type="dxa"/>
              <w:left w:w="85" w:type="dxa"/>
              <w:right w:w="85" w:type="dxa"/>
            </w:tcMar>
            <w:shd w:fill="E9EEF2"/>
          </w:tcPr>
          <w:p>
            <w:pPr>
              <w:spacing w:before="30" w:after="30" w:line="259" w:lineRule="auto"/>
            </w:pPr>
            <w:r>
              <w:rPr>
                <w:b/>
                <w:color w:val="000000"/>
                <w:sz w:val="18"/>
              </w:rPr>
              <w:t>技术选择</w:t>
            </w:r>
          </w:p>
        </w:tc>
        <w:tc>
          <w:tcPr>
            <w:tcW w:type="dxa" w:w="5046"/>
            <w:vAlign w:val="center"/>
            <w:tcMar>
              <w:top w:w="50" w:type="dxa"/>
              <w:bottom w:w="50" w:type="dxa"/>
              <w:left w:w="85" w:type="dxa"/>
              <w:right w:w="85" w:type="dxa"/>
            </w:tcMar>
            <w:shd w:fill="E9EEF2"/>
          </w:tcPr>
          <w:p>
            <w:pPr>
              <w:spacing w:before="30" w:after="30" w:line="259" w:lineRule="auto"/>
            </w:pPr>
            <w:r>
              <w:rPr>
                <w:b/>
                <w:color w:val="000000"/>
                <w:sz w:val="18"/>
              </w:rPr>
              <w:t>主要职责</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手机端</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HTML、CSS、JavaScript</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场次入口、拍照上传、任务进度与结果展示</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接入与接口</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Nginx、FastAPI、Uvicorn</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页面与接口同源访问、鉴权、校验、查询</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数据访问</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SQLAlchemy、PyMySQL</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MySQL 连接池、事务及持久化操作</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数据库</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MySQL 8.4 LTS</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账户、班级、场次名单、人脸特征、任务与签到记录</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图片与模型</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OpenCV、InsightFace、ONNX Runtime CPU</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解码、检测、对齐、编码与模型推理</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人脸检索</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NumPy</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内存中精确计算归一化特征的相似度</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任务处理</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Redis、Celery</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消息传递、受控 worker 执行及有限重试</w:t>
            </w:r>
          </w:p>
        </w:tc>
      </w:tr>
      <w:tr>
        <w:trPr>
          <w:cantSplit/>
        </w:trPr>
        <w:tc>
          <w:tcPr>
            <w:tcW w:type="dxa" w:w="1304"/>
            <w:vAlign w:val="center"/>
            <w:tcMar>
              <w:top w:w="50" w:type="dxa"/>
              <w:bottom w:w="50" w:type="dxa"/>
              <w:left w:w="85" w:type="dxa"/>
              <w:right w:w="85" w:type="dxa"/>
            </w:tcMar>
          </w:tcPr>
          <w:p>
            <w:pPr>
              <w:spacing w:before="30" w:after="30" w:line="259" w:lineRule="auto"/>
            </w:pPr>
            <w:r>
              <w:rPr>
                <w:b w:val="0"/>
                <w:color w:val="000000"/>
                <w:sz w:val="18"/>
              </w:rPr>
              <w:t>部署与存储</w:t>
            </w:r>
          </w:p>
        </w:tc>
        <w:tc>
          <w:tcPr>
            <w:tcW w:type="dxa" w:w="3515"/>
            <w:vAlign w:val="center"/>
            <w:tcMar>
              <w:top w:w="50" w:type="dxa"/>
              <w:bottom w:w="50" w:type="dxa"/>
              <w:left w:w="85" w:type="dxa"/>
              <w:right w:w="85" w:type="dxa"/>
            </w:tcMar>
          </w:tcPr>
          <w:p>
            <w:pPr>
              <w:spacing w:before="30" w:after="30" w:line="259" w:lineRule="auto"/>
            </w:pPr>
            <w:r>
              <w:rPr>
                <w:b w:val="0"/>
                <w:color w:val="000000"/>
                <w:sz w:val="18"/>
              </w:rPr>
              <w:t>Linux、Docker Compose、持久化数据卷</w:t>
            </w:r>
          </w:p>
        </w:tc>
        <w:tc>
          <w:tcPr>
            <w:tcW w:type="dxa" w:w="5046"/>
            <w:vAlign w:val="center"/>
            <w:tcMar>
              <w:top w:w="50" w:type="dxa"/>
              <w:bottom w:w="50" w:type="dxa"/>
              <w:left w:w="85" w:type="dxa"/>
              <w:right w:w="85" w:type="dxa"/>
            </w:tcMar>
          </w:tcPr>
          <w:p>
            <w:pPr>
              <w:spacing w:before="30" w:after="30" w:line="259" w:lineRule="auto"/>
            </w:pPr>
            <w:r>
              <w:rPr>
                <w:b w:val="0"/>
                <w:color w:val="000000"/>
                <w:sz w:val="18"/>
              </w:rPr>
              <w:t>同机运行服务，保存数据库与照片文件</w:t>
            </w:r>
          </w:p>
        </w:tc>
      </w:tr>
    </w:tbl>
    <w:p>
      <w:pPr>
        <w:spacing w:after="20" w:line="240" w:lineRule="auto"/>
      </w:pPr>
      <w:r>
        <w:rPr>
          <w:sz w:val="4"/>
        </w:rPr>
      </w:r>
    </w:p>
    <w:p>
      <w:r>
        <w:t>云服务器以公网 IP 提供页面和接口入口，数据库、Redis 和 worker 仅在内部网络通信。采用可信 HTTPS 传输；通过 IP 使用 HTTPS 时，证书需包含该 IP 且被手机信任。若使用域名证书，仍保留公网 IP 访问验证路径。实际地址、证书及端口配置在部署阶段落实。</w:t>
      </w:r>
    </w:p>
    <w:p>
      <w:r>
        <w:t>手机端首选文件控件拍照上传，并在演示手机上实测兼容性；网页内实时相机预览仅在安全上下文中启用。[1] Celery 在 Linux 容器或 WSL2 中开发与验证，云端同样使用 Linux。[2] 依赖版本在首轮模型试跑后锁定。</w:t>
      </w:r>
    </w:p>
    <w:p>
      <w:r>
        <w:br w:type="page"/>
      </w:r>
    </w:p>
    <w:p>
      <w:pPr>
        <w:pStyle w:val="Heading1"/>
      </w:pPr>
      <w:r>
        <w:t>三 人脸识别与业务流程</w:t>
      </w:r>
    </w:p>
    <w:p>
      <w:pPr>
        <w:pStyle w:val="Heading2"/>
      </w:pPr>
      <w:r>
        <w:t>模型与检索方法</w:t>
      </w:r>
    </w:p>
    <w:p>
      <w:r>
        <w:t>使用预训练模型完成推理。首个基线为 InsightFace 的 buffalo_l：SCRFD 检测人脸及关键点，基于关键点对齐人脸，识别网络提取特征。ArcFace 是人脸识别训练方法，不代表唯一网络结构。仅加载检测和识别所需模块，采用 CPU ONNX Runtime；如实测耗时不满足演示目标，再评估轻量模型包。[3][4]</w:t>
      </w:r>
    </w:p>
    <w:p>
      <w:r>
        <w:t>对特征向量进行 L2 归一化后，使用点积计算余弦相似度。同一人员有多张有效标准照时，取该人员各标准照中的最高相似度，再按人员排序；最高分须达到阈值，且与次高人员分数足够区分，否则拒绝确认身份。相似度阈值和分差使用已录入人员的新照片及真正未录入人员照片调试，并用另一组照片验收。</w:t>
      </w:r>
    </w:p>
    <w:p>
      <w:pPr>
        <w:pStyle w:val="Heading2"/>
      </w:pPr>
      <w:r>
        <w:t>注册与标准照录入</w:t>
      </w:r>
    </w:p>
    <w:p>
      <w:r>
        <w:t>手机提交基本信息、密码和标准照 → API 校验字段与图片，将密码哈希后创建待激活账户及任务 → worker 检测唯一清晰人脸、对齐并编码 → 在事务中保存有效人脸特征、激活账户、增加特征库版本并完成任务 → 手机显示注册成功。识别失败时账户保持不可登录、不可参与匹配，显示重拍原因；失败或过期的待激活资料按清理规则回收，允许重新注册。</w:t>
      </w:r>
    </w:p>
    <w:p>
      <w:pPr>
        <w:pStyle w:val="Heading2"/>
      </w:pPr>
      <w:r>
        <w:t>创建课程签到场次</w:t>
      </w:r>
    </w:p>
    <w:p>
      <w:r>
        <w:t>完成本班人员注册录入后，管理员登录并填写课程或场次名称，选择一个班级及起止时间。服务器验证开始时间早于结束时间，在事务中创建场次及应到名单快照，生成随机场次码和手机访问链接。发布后名单、班级与起止时间固定，管理员可提前结束场次；未开始、进行中、已结束状态按服务器时间和提前结束时间判定。</w:t>
      </w:r>
    </w:p>
    <w:p>
      <w:pPr>
        <w:pStyle w:val="Heading2"/>
      </w:pPr>
      <w:r>
        <w:t>无需登录的场次签到</w:t>
      </w:r>
    </w:p>
    <w:p>
      <w:r>
        <w:t>手机打开指定场次链接并上传照片 → API 校验场次时间窗口，完整接收及校验上传后记录 received_at 并创建任务 → worker 检测、对齐、编码，在全体有效人脸中做 1:N 检索 → 识别成功后核对该人员是否属于场次名单 → 事务写入该场次记录并完成任务 → 手机显示签到成功或本场次已签到。未识别到已录入人员、身份不明确、非本场次人员和处理失败分别反馈，不新增成功记录。</w:t>
      </w:r>
    </w:p>
    <w:p>
      <w:r>
        <w:t>时间资格按服务器 received_at 判断，须满足开始时间 ≤ received_at &lt; 有效结束时间；提前结束时取原结束时间与关闭时间的较早者。有效时间内接收的任务允许在截止后完成识别，排队不导致误判迟到；客户端拍摄时间不作为依据。写入时重新校验人员状态、名单及有效时间，已超时失败的任务不得继续写成功记录。</w:t>
      </w:r>
    </w:p>
    <w:p>
      <w:pPr>
        <w:pStyle w:val="Heading2"/>
      </w:pPr>
      <w:r>
        <w:t>照片库维护与一致性</w:t>
      </w:r>
    </w:p>
    <w:p>
      <w:r>
        <w:t>新增或替换照片需完成校验和编码后才生效；替换失败保留原有效照片。MySQL 维护特征库版本，worker 每次任务前检查版本并在变化时刷新本地缓存。最终校验与签到写入在同一事务中锁定人员和版本记录；版本不一致则退出事务，重新加载并匹配。删除人脸时同步更新状态与版本，避免旧缓存继续签到。最后一张有效照片被删除后，该人员无法签到，但既有签到记录保留。</w:t>
      </w:r>
    </w:p>
    <w:p>
      <w:r>
        <w:t>标准照和特征使用同一模型与预处理版本；更换模型时统一重建有效特征。人脸相似度不能证明活体，本版不承诺识别打印照片或屏幕翻拍等代签行为。</w:t>
      </w:r>
    </w:p>
    <w:p>
      <w:r>
        <w:br w:type="page"/>
      </w:r>
    </w:p>
    <w:p>
      <w:pPr>
        <w:pStyle w:val="Heading1"/>
      </w:pPr>
      <w:r>
        <w:t>四 接口与身份认证</w:t>
      </w:r>
    </w:p>
    <w:p>
      <w:r>
        <w:t>业务接口统一使用 /api 前缀，带照片的请求采用 multipart/form-data，其余请求与响应使用 JSON。注册、照片录入和签到统一使用异步任务协议；前端从第二次提交开始按相同协议联调。FastAPI 使用 UploadFile 接收上传文件。[5]</w:t>
      </w:r>
    </w:p>
    <w:p>
      <w:r>
        <w:t>照片上传分三种用途：注册时提交标准照无需登录；参加指定场次时提交签到照无需登录；登录后新增、替换或删除照片库中的标准照才需要鉴权。签到照用于本次识别，不自动加入标准照片库。</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531"/>
        <w:gridCol w:w="5272"/>
      </w:tblGrid>
      <w:tr>
        <w:trPr>
          <w:cantSplit/>
          <w:tblHeader/>
        </w:trPr>
        <w:tc>
          <w:tcPr>
            <w:tcW w:type="dxa" w:w="3061"/>
            <w:vAlign w:val="center"/>
            <w:tcMar>
              <w:top w:w="50" w:type="dxa"/>
              <w:bottom w:w="50" w:type="dxa"/>
              <w:left w:w="85" w:type="dxa"/>
              <w:right w:w="85" w:type="dxa"/>
            </w:tcMar>
            <w:shd w:fill="E9EEF2"/>
          </w:tcPr>
          <w:p>
            <w:pPr>
              <w:spacing w:before="30" w:after="30" w:line="259" w:lineRule="auto"/>
            </w:pPr>
            <w:r>
              <w:rPr>
                <w:b/>
                <w:color w:val="000000"/>
                <w:sz w:val="18"/>
              </w:rPr>
              <w:t>方法与路径</w:t>
            </w:r>
          </w:p>
        </w:tc>
        <w:tc>
          <w:tcPr>
            <w:tcW w:type="dxa" w:w="1531"/>
            <w:vAlign w:val="center"/>
            <w:tcMar>
              <w:top w:w="50" w:type="dxa"/>
              <w:bottom w:w="50" w:type="dxa"/>
              <w:left w:w="85" w:type="dxa"/>
              <w:right w:w="85" w:type="dxa"/>
            </w:tcMar>
            <w:shd w:fill="E9EEF2"/>
          </w:tcPr>
          <w:p>
            <w:pPr>
              <w:spacing w:before="30" w:after="30" w:line="259" w:lineRule="auto"/>
            </w:pPr>
            <w:r>
              <w:rPr>
                <w:b/>
                <w:color w:val="000000"/>
                <w:sz w:val="18"/>
              </w:rPr>
              <w:t>权限</w:t>
            </w:r>
          </w:p>
        </w:tc>
        <w:tc>
          <w:tcPr>
            <w:tcW w:type="dxa" w:w="5272"/>
            <w:vAlign w:val="center"/>
            <w:tcMar>
              <w:top w:w="50" w:type="dxa"/>
              <w:bottom w:w="50" w:type="dxa"/>
              <w:left w:w="85" w:type="dxa"/>
              <w:right w:w="85" w:type="dxa"/>
            </w:tcMar>
            <w:shd w:fill="E9EEF2"/>
          </w:tcPr>
          <w:p>
            <w:pPr>
              <w:spacing w:before="30" w:after="30" w:line="259" w:lineRule="auto"/>
            </w:pPr>
            <w:r>
              <w:rPr>
                <w:b/>
                <w:color w:val="000000"/>
                <w:sz w:val="18"/>
              </w:rPr>
              <w:t>请求与结果摘要</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/auth/register</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无需登录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基本信息、class_​id、密码和标准照；返回任务凭证</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/auth/login</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公开</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学号、密码；成功后建立登录会话</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/auth/logout</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撤销当前会话并清除 Cookie</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/me</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返回当前用户资料和角色</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/classes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无需登录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返回注册可选的班级编号与名称，不返回人员名单</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/classes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管理员</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创建班级供注册归属和场次选择</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/sessions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管理员</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课程或场次名称、class_​id、起止时间；冻结名单并返回场次链接</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/sessions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管理员</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查看场次列表与状态</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/sessions/{code}</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无需登录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返回场次名称、班级、起止时间和状态，不返回名单</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/sessions/{id}/close</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管理员</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提前结束场次，拒绝关闭后新收到的签到请求</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/faces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普通用户查本人，管理员可按人员筛选</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/faces/{id}/image</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校验照片访问权限后返回原图</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/faces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上传或指定 replace_​id 替换照片；管理员可指定人员</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DELETE /faces/{id}</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校验所有权或管理员权限后使照片失效</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POST /checkins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无需登录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session_​code、签到照片、幂等键；返回 202 和任务凭证</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/tasks/{id}</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任务凭证或授权会话</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返回任务状态、结果码及必要反馈</w:t>
            </w:r>
          </w:p>
        </w:tc>
      </w:tr>
      <w:tr>
        <w:trPr>
          <w:cantSplit/>
        </w:trPr>
        <w:tc>
          <w:tcPr>
            <w:tcW w:type="dxa" w:w="3061"/>
            <w:vAlign w:val="center"/>
            <w:tcMar>
              <w:top w:w="50" w:type="dxa"/>
              <w:bottom w:w="50" w:type="dxa"/>
              <w:left w:w="85" w:type="dxa"/>
              <w:right w:w="85" w:type="dxa"/>
            </w:tcMar>
          </w:tcPr>
          <w:p>
            <w:pPr>
              <w:spacing w:before="30" w:after="30" w:line="259" w:lineRule="auto"/>
            </w:pPr>
            <w:r>
              <w:rPr>
                <w:b w:val="0"/>
                <w:color w:val="000000"/>
                <w:sz w:val="18"/>
              </w:rPr>
              <w:t>GET /records</w:t>
            </w:r>
          </w:p>
        </w:tc>
        <w:tc>
          <w:tcPr>
            <w:tcW w:type="dxa" w:w="1531"/>
            <w:vAlign w:val="center"/>
            <w:tcMar>
              <w:top w:w="50" w:type="dxa"/>
              <w:bottom w:w="50" w:type="dxa"/>
              <w:left w:w="85" w:type="dxa"/>
              <w:right w:w="85" w:type="dxa"/>
            </w:tcMar>
          </w:tcPr>
          <w:p>
            <w:pPr>
              <w:spacing w:before="30" w:after="30" w:line="259" w:lineRule="auto"/>
            </w:pPr>
            <w:r>
              <w:rPr>
                <w:b w:val="0"/>
                <w:color w:val="000000"/>
                <w:sz w:val="18"/>
              </w:rPr>
              <w:t>登录</w:t>
            </w:r>
          </w:p>
        </w:tc>
        <w:tc>
          <w:tcPr>
            <w:tcW w:type="dxa" w:w="5272"/>
            <w:vAlign w:val="center"/>
            <w:tcMar>
              <w:top w:w="50" w:type="dxa"/>
              <w:bottom w:w="50" w:type="dxa"/>
              <w:left w:w="85" w:type="dxa"/>
              <w:right w:w="85" w:type="dxa"/>
            </w:tcMar>
          </w:tcPr>
          <w:p>
            <w:pPr>
              <w:spacing w:before="30" w:after="30" w:line="259" w:lineRule="auto"/>
            </w:pPr>
            <w:r>
              <w:rPr>
                <w:b w:val="0"/>
                <w:color w:val="000000"/>
                <w:sz w:val="18"/>
              </w:rPr>
              <w:t>按场次筛选；本人查自身，管理员查班级名单、签到状态与统计</w:t>
            </w:r>
          </w:p>
        </w:tc>
      </w:tr>
    </w:tbl>
    <w:p>
      <w:pPr>
        <w:spacing w:after="20" w:line="240" w:lineRule="auto"/>
      </w:pPr>
      <w:r>
        <w:rPr>
          <w:sz w:val="4"/>
        </w:rPr>
      </w:r>
    </w:p>
    <w:p>
      <w:r>
        <w:t>任务创建响应包含 task_id 和不可猜测的 task_token。匿名查询同时校验两者，凭证只授权访问本次任务；任务结果不公开标准照、特征向量和完整学号。前端约每秒查询一次，任务结束后停止，超时或过期时显示明确提示。</w:t>
      </w:r>
    </w:p>
    <w:p>
      <w:r>
        <w:t>任务状态为 PENDING、RUNNING、SUCCEEDED、REJECTED、FAILED。业务拒绝包括未知或不明确身份、无人脸、多脸、照片质量不足、非本场次人员；时间窗口错误在接收时拒绝。成功结果区分 CHECKED_IN、ALREADY_CHECKED_IN 和 ENROLLED。非法参数返回 4xx，限流或队列拥堵返回 429/503；排队或推理异常不得显示为成功。</w:t>
      </w:r>
    </w:p>
    <w:p>
      <w:r>
        <w:t>采用服务器端会话和 HttpOnly Cookie，数据库保存会话令牌哈希；退出登录使会话立即失效。写操作校验 CSRF，普通用户不能通过修改用户编号越权。密码只保存强密码哈希，公网请求使用 HTTPS；数据库、日志和任务消息中不记录明文密码。</w:t>
      </w:r>
    </w:p>
    <w:p>
      <w:r>
        <w:br w:type="page"/>
      </w:r>
    </w:p>
    <w:p>
      <w:pPr>
        <w:pStyle w:val="Heading1"/>
      </w:pPr>
      <w:r>
        <w:t>五 数据设计与并发处理</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535"/>
        <w:gridCol w:w="3345"/>
      </w:tblGrid>
      <w:tr>
        <w:trPr>
          <w:cantSplit/>
          <w:tblHeader/>
        </w:trPr>
        <w:tc>
          <w:tcPr>
            <w:tcW w:type="dxa" w:w="1984"/>
            <w:vAlign w:val="center"/>
            <w:tcMar>
              <w:top w:w="50" w:type="dxa"/>
              <w:bottom w:w="50" w:type="dxa"/>
              <w:left w:w="85" w:type="dxa"/>
              <w:right w:w="85" w:type="dxa"/>
            </w:tcMar>
            <w:shd w:fill="E9EEF2"/>
          </w:tcPr>
          <w:p>
            <w:pPr>
              <w:spacing w:before="30" w:after="30" w:line="259" w:lineRule="auto"/>
            </w:pPr>
            <w:r>
              <w:rPr>
                <w:b/>
                <w:color w:val="000000"/>
                <w:sz w:val="18"/>
              </w:rPr>
              <w:t>数据表</w:t>
            </w:r>
          </w:p>
        </w:tc>
        <w:tc>
          <w:tcPr>
            <w:tcW w:type="dxa" w:w="4535"/>
            <w:vAlign w:val="center"/>
            <w:tcMar>
              <w:top w:w="50" w:type="dxa"/>
              <w:bottom w:w="50" w:type="dxa"/>
              <w:left w:w="85" w:type="dxa"/>
              <w:right w:w="85" w:type="dxa"/>
            </w:tcMar>
            <w:shd w:fill="E9EEF2"/>
          </w:tcPr>
          <w:p>
            <w:pPr>
              <w:spacing w:before="30" w:after="30" w:line="259" w:lineRule="auto"/>
            </w:pPr>
            <w:r>
              <w:rPr>
                <w:b/>
                <w:color w:val="000000"/>
                <w:sz w:val="18"/>
              </w:rPr>
              <w:t>主要字段</w:t>
            </w:r>
          </w:p>
        </w:tc>
        <w:tc>
          <w:tcPr>
            <w:tcW w:type="dxa" w:w="3345"/>
            <w:vAlign w:val="center"/>
            <w:tcMar>
              <w:top w:w="50" w:type="dxa"/>
              <w:bottom w:w="50" w:type="dxa"/>
              <w:left w:w="85" w:type="dxa"/>
              <w:right w:w="85" w:type="dxa"/>
            </w:tcMar>
            <w:shd w:fill="E9EEF2"/>
          </w:tcPr>
          <w:p>
            <w:pPr>
              <w:spacing w:before="30" w:after="30" w:line="259" w:lineRule="auto"/>
            </w:pPr>
            <w:r>
              <w:rPr>
                <w:b/>
                <w:color w:val="000000"/>
                <w:sz w:val="18"/>
              </w:rPr>
              <w:t>约束或用途</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classes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id、name、status</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管理班级，供注册归属与场次选择</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users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id、student_​no、name、class_​id、password_​hash、role、status</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学号唯一；外键关联班级，区分待激活、有效和停用</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attendance_​sessions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id、title、class_​id、public_​code、starts_​at、ends_​at、closed_​at、created_​by</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场次码唯一；有效结束时间取 ends_​at 与 closed_​at 的较早值</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session_​members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session_​id、user_​id</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联合主键；创建场次时冻结应到名单</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face_​samples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id、user_​id、image_​path、embedding、dimension、dtype、model_​version、status</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外键关联人员；二进制特征，仅有效样本参与匹配</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recognition_​tasks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id、session_​id、owner_​user_​id、type、status、token_​hash、request_​key、image_​path、received_​at、expires_​at、result_​code</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签到任务关联场次；其他任务的 session_​id 为空；请求键防重</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attendance_​records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id、session_​id、user_​id、received_​at、recognized_​at、task_​id、score、model_​version</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UNIQUE(session_​id, user_​id)；关联场次名单成员</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login_​sessions</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id、user_​id、token_​hash、expires_​at</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会话过期与主动撤销</w:t>
            </w:r>
          </w:p>
        </w:tc>
      </w:tr>
      <w:tr>
        <w:trPr>
          <w:cantSplit/>
        </w:trPr>
        <w:tc>
          <w:tcPr>
            <w:tcW w:type="dxa" w:w="1984"/>
            <w:vAlign w:val="center"/>
            <w:tcMar>
              <w:top w:w="50" w:type="dxa"/>
              <w:bottom w:w="50" w:type="dxa"/>
              <w:left w:w="85" w:type="dxa"/>
              <w:right w:w="85" w:type="dxa"/>
            </w:tcMar>
          </w:tcPr>
          <w:p>
            <w:pPr>
              <w:spacing w:before="30" w:after="30" w:line="259" w:lineRule="auto"/>
            </w:pPr>
            <w:r>
              <w:rPr>
                <w:b w:val="0"/>
                <w:color w:val="000000"/>
                <w:sz w:val="18"/>
              </w:rPr>
              <w:t>face_​library_​state</w:t>
            </w:r>
          </w:p>
        </w:tc>
        <w:tc>
          <w:tcPr>
            <w:tcW w:type="dxa" w:w="4535"/>
            <w:vAlign w:val="center"/>
            <w:tcMar>
              <w:top w:w="50" w:type="dxa"/>
              <w:bottom w:w="50" w:type="dxa"/>
              <w:left w:w="85" w:type="dxa"/>
              <w:right w:w="85" w:type="dxa"/>
            </w:tcMar>
          </w:tcPr>
          <w:p>
            <w:pPr>
              <w:spacing w:before="30" w:after="30" w:line="259" w:lineRule="auto"/>
            </w:pPr>
            <w:r>
              <w:rPr>
                <w:b w:val="0"/>
                <w:color w:val="000000"/>
                <w:sz w:val="18"/>
              </w:rPr>
              <w:t>id、version、updated_​at</w:t>
            </w:r>
          </w:p>
        </w:tc>
        <w:tc>
          <w:tcPr>
            <w:tcW w:type="dxa" w:w="3345"/>
            <w:vAlign w:val="center"/>
            <w:tcMar>
              <w:top w:w="50" w:type="dxa"/>
              <w:bottom w:w="50" w:type="dxa"/>
              <w:left w:w="85" w:type="dxa"/>
              <w:right w:w="85" w:type="dxa"/>
            </w:tcMar>
          </w:tcPr>
          <w:p>
            <w:pPr>
              <w:spacing w:before="30" w:after="30" w:line="259" w:lineRule="auto"/>
            </w:pPr>
            <w:r>
              <w:rPr>
                <w:b w:val="0"/>
                <w:color w:val="000000"/>
                <w:sz w:val="18"/>
              </w:rPr>
              <w:t>单行版本号；与有效特征增删在同一事务更新</w:t>
            </w:r>
          </w:p>
        </w:tc>
      </w:tr>
    </w:tbl>
    <w:p>
      <w:pPr>
        <w:spacing w:after="20" w:line="240" w:lineRule="auto"/>
      </w:pPr>
      <w:r>
        <w:rPr>
          <w:sz w:val="4"/>
        </w:rPr>
      </w:r>
    </w:p>
    <w:p>
      <w:r>
        <w:t>MySQL 使用 InnoDB 和 utf8mb4，时间保存为 UTC，起止时间输入和页面展示使用 Asia/Shanghai。场次应到人数来自 session_members；已签到人数来自成功记录，未签到名单由差集计算。进行中显示“待签到”，结束后显示“未签到”；若仍有时间内接收的待处理任务，统计标注“结果处理中”，完成后更新。</w:t>
      </w:r>
    </w:p>
    <w:p>
      <w:r>
        <w:t>标准照片存持久化目录，数据库保存路径和元数据；消息只传任务编号。特征加载到 worker 内存，签到仅对新照片执行推理。签到照片不更新标准人脸特征。</w:t>
      </w:r>
    </w:p>
    <w:p>
      <w:r>
        <w:t>API 与 worker 分离，模型在 worker 启动时加载并预热，受控数量的 worker 消费任务。API 设置请求体、图片像素和访问频率限制；排队超过容量上限时拒绝新请求并提示稍后再试，任务设置排队及执行超时。连接池、worker 数、队列上限和超时值通过环境配置，依据目标服务器实测确定。</w:t>
      </w:r>
    </w:p>
    <w:p>
      <w:r>
        <w:t>数据库持久化任务状态：API 先保存文件与任务，再向 Redis 投递；失败由定时补投恢复。worker 按任务状态去重，暂时性失败有限重试，业务拒绝不重试。幂等键绑定场次和请求内容，不能复用于不同场次或照片。签到记录与任务成功状态同事务提交，以场次和人员唯一约束兜底；最终事务校验场次、成员、人员有效性和时间资格，防止重复签到或越过时间窗口。</w:t>
      </w:r>
    </w:p>
    <w:p>
      <w:r>
        <w:t>所有进程共享同机照片数据卷。注册或上传失败产生的临时文件由定时清理回收；任务过期后删除临时签到照，停用标准照在不再被任务使用后删除文件。备份同时覆盖 MySQL 与有效标准照。该设计缓冲短时流量，不承诺无限排队或超出硬件能力的吞吐量。</w:t>
      </w:r>
    </w:p>
    <w:p>
      <w:r>
        <w:br w:type="page"/>
      </w:r>
    </w:p>
    <w:p>
      <w:pPr>
        <w:pStyle w:val="Heading1"/>
      </w:pPr>
      <w:r>
        <w:t>六 开发计划与验收</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969"/>
        <w:gridCol w:w="4365"/>
      </w:tblGrid>
      <w:tr>
        <w:trPr>
          <w:cantSplit/>
          <w:tblHeader/>
        </w:trPr>
        <w:tc>
          <w:tcPr>
            <w:tcW w:type="dxa" w:w="1531"/>
            <w:vAlign w:val="center"/>
            <w:tcMar>
              <w:top w:w="50" w:type="dxa"/>
              <w:bottom w:w="50" w:type="dxa"/>
              <w:left w:w="85" w:type="dxa"/>
              <w:right w:w="85" w:type="dxa"/>
            </w:tcMar>
            <w:shd w:fill="E9EEF2"/>
          </w:tcPr>
          <w:p>
            <w:pPr>
              <w:spacing w:before="30" w:after="30" w:line="259" w:lineRule="auto"/>
            </w:pPr>
            <w:r>
              <w:rPr>
                <w:b/>
                <w:color w:val="000000"/>
                <w:sz w:val="18"/>
              </w:rPr>
              <w:t>阶段</w:t>
            </w:r>
          </w:p>
        </w:tc>
        <w:tc>
          <w:tcPr>
            <w:tcW w:type="dxa" w:w="3969"/>
            <w:vAlign w:val="center"/>
            <w:tcMar>
              <w:top w:w="50" w:type="dxa"/>
              <w:bottom w:w="50" w:type="dxa"/>
              <w:left w:w="85" w:type="dxa"/>
              <w:right w:w="85" w:type="dxa"/>
            </w:tcMar>
            <w:shd w:fill="E9EEF2"/>
          </w:tcPr>
          <w:p>
            <w:pPr>
              <w:spacing w:before="30" w:after="30" w:line="259" w:lineRule="auto"/>
            </w:pPr>
            <w:r>
              <w:rPr>
                <w:b/>
                <w:color w:val="000000"/>
                <w:sz w:val="18"/>
              </w:rPr>
              <w:t>工作与依赖</w:t>
            </w:r>
          </w:p>
        </w:tc>
        <w:tc>
          <w:tcPr>
            <w:tcW w:type="dxa" w:w="4365"/>
            <w:vAlign w:val="center"/>
            <w:tcMar>
              <w:top w:w="50" w:type="dxa"/>
              <w:bottom w:w="50" w:type="dxa"/>
              <w:left w:w="85" w:type="dxa"/>
              <w:right w:w="85" w:type="dxa"/>
            </w:tcMar>
            <w:shd w:fill="E9EEF2"/>
          </w:tcPr>
          <w:p>
            <w:pPr>
              <w:spacing w:before="30" w:after="30" w:line="259" w:lineRule="auto"/>
            </w:pPr>
            <w:r>
              <w:rPr>
                <w:b/>
                <w:color w:val="000000"/>
                <w:sz w:val="18"/>
              </w:rPr>
              <w:t>提交内容与验收</w:t>
            </w:r>
          </w:p>
        </w:tc>
      </w:tr>
      <w:tr>
        <w:trPr>
          <w:cantSplit/>
        </w:trPr>
        <w:tc>
          <w:tcPr>
            <w:tcW w:type="dxa" w:w="1531"/>
            <w:vAlign w:val="center"/>
            <w:tcMar>
              <w:top w:w="50" w:type="dxa"/>
              <w:bottom w:w="50" w:type="dxa"/>
              <w:left w:w="85" w:type="dxa"/>
              <w:right w:w="85" w:type="dxa"/>
            </w:tcMar>
          </w:tcPr>
          <w:p>
            <w:pPr>
              <w:spacing w:before="30" w:after="30" w:line="259" w:lineRule="auto"/>
            </w:pPr>
            <w:r>
              <w:rPr>
                <w:b w:val="0"/>
                <w:color w:val="000000"/>
                <w:sz w:val="18"/>
              </w:rPr>
              <w:t>第一次提交</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确定架构、接口和表设计；准备云环境并试跑模型</w:t>
            </w:r>
          </w:p>
        </w:tc>
        <w:tc>
          <w:tcPr>
            <w:tcW w:type="dxa" w:w="4365"/>
            <w:vAlign w:val="center"/>
            <w:tcMar>
              <w:top w:w="50" w:type="dxa"/>
              <w:bottom w:w="50" w:type="dxa"/>
              <w:left w:w="85" w:type="dxa"/>
              <w:right w:w="85" w:type="dxa"/>
            </w:tcMar>
          </w:tcPr>
          <w:p>
            <w:pPr>
              <w:spacing w:before="30" w:after="30" w:line="259" w:lineRule="auto"/>
            </w:pPr>
            <w:r>
              <w:rPr>
                <w:b w:val="0"/>
                <w:color w:val="000000"/>
                <w:sz w:val="18"/>
              </w:rPr>
              <w:t>提交本设计文档，注明全部成员姓名和学号</w:t>
            </w:r>
          </w:p>
        </w:tc>
      </w:tr>
      <w:tr>
        <w:trPr>
          <w:cantSplit/>
        </w:trPr>
        <w:tc>
          <w:tcPr>
            <w:tcW w:type="dxa" w:w="1531"/>
            <w:vAlign w:val="center"/>
            <w:tcMar>
              <w:top w:w="50" w:type="dxa"/>
              <w:bottom w:w="50" w:type="dxa"/>
              <w:left w:w="85" w:type="dxa"/>
              <w:right w:w="85" w:type="dxa"/>
            </w:tcMar>
          </w:tcPr>
          <w:p>
            <w:pPr>
              <w:spacing w:before="30" w:after="30" w:line="259" w:lineRule="auto"/>
            </w:pPr>
            <w:r>
              <w:rPr>
                <w:b w:val="0"/>
                <w:color w:val="000000"/>
                <w:sz w:val="18"/>
              </w:rPr>
              <w:t>第二次提交</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按协议同步开发页面和 API；连接 MySQL、接入标准照录入并部署公网入口</w:t>
            </w:r>
          </w:p>
        </w:tc>
        <w:tc>
          <w:tcPr>
            <w:tcW w:type="dxa" w:w="4365"/>
            <w:vAlign w:val="center"/>
            <w:tcMar>
              <w:top w:w="50" w:type="dxa"/>
              <w:bottom w:w="50" w:type="dxa"/>
              <w:left w:w="85" w:type="dxa"/>
              <w:right w:w="85" w:type="dxa"/>
            </w:tcMar>
          </w:tcPr>
          <w:p>
            <w:pPr>
              <w:spacing w:before="30" w:after="30" w:line="259" w:lineRule="auto"/>
            </w:pPr>
            <w:r>
              <w:rPr>
                <w:b w:val="0"/>
                <w:color w:val="000000"/>
                <w:sz w:val="18"/>
              </w:rPr>
              <w:t>演示注册、登录、退出登录、拍照上传；提交手机页面和数据库变化截图</w:t>
            </w:r>
          </w:p>
        </w:tc>
      </w:tr>
      <w:tr>
        <w:trPr>
          <w:cantSplit/>
        </w:trPr>
        <w:tc>
          <w:tcPr>
            <w:tcW w:type="dxa" w:w="1531"/>
            <w:vAlign w:val="center"/>
            <w:tcMar>
              <w:top w:w="50" w:type="dxa"/>
              <w:bottom w:w="50" w:type="dxa"/>
              <w:left w:w="85" w:type="dxa"/>
              <w:right w:w="85" w:type="dxa"/>
            </w:tcMar>
          </w:tcPr>
          <w:p>
            <w:pPr>
              <w:spacing w:before="30" w:after="30" w:line="259" w:lineRule="auto"/>
            </w:pPr>
            <w:r>
              <w:rPr>
                <w:b w:val="0"/>
                <w:color w:val="000000"/>
                <w:sz w:val="18"/>
              </w:rPr>
              <w:t>第三次提交</w:t>
            </w:r>
          </w:p>
        </w:tc>
        <w:tc>
          <w:tcPr>
            <w:tcW w:type="dxa" w:w="3969"/>
            <w:vAlign w:val="center"/>
            <w:tcMar>
              <w:top w:w="50" w:type="dxa"/>
              <w:bottom w:w="50" w:type="dxa"/>
              <w:left w:w="85" w:type="dxa"/>
              <w:right w:w="85" w:type="dxa"/>
            </w:tcMar>
          </w:tcPr>
          <w:p>
            <w:pPr>
              <w:spacing w:before="30" w:after="30" w:line="259" w:lineRule="auto"/>
            </w:pPr>
            <w:r>
              <w:rPr>
                <w:b w:val="0"/>
                <w:color w:val="000000"/>
                <w:sz w:val="18"/>
              </w:rPr>
              <w:t>完成场次创建、班级名单核对、识别与记录查询；验证时间窗口和并发</w:t>
            </w:r>
          </w:p>
        </w:tc>
        <w:tc>
          <w:tcPr>
            <w:tcW w:type="dxa" w:w="4365"/>
            <w:vAlign w:val="center"/>
            <w:tcMar>
              <w:top w:w="50" w:type="dxa"/>
              <w:bottom w:w="50" w:type="dxa"/>
              <w:left w:w="85" w:type="dxa"/>
              <w:right w:w="85" w:type="dxa"/>
            </w:tcMar>
          </w:tcPr>
          <w:p>
            <w:pPr>
              <w:spacing w:before="30" w:after="30" w:line="259" w:lineRule="auto"/>
            </w:pPr>
            <w:r>
              <w:rPr>
                <w:b w:val="0"/>
                <w:color w:val="000000"/>
                <w:sz w:val="18"/>
              </w:rPr>
              <w:t>依次演示注册录入、创建课程签到、已录入及未录入人员签到；提交手机端和服务器端截图</w:t>
            </w:r>
          </w:p>
        </w:tc>
      </w:tr>
    </w:tbl>
    <w:p>
      <w:pPr>
        <w:spacing w:after="20" w:line="240" w:lineRule="auto"/>
      </w:pPr>
      <w:r>
        <w:rPr>
          <w:sz w:val="4"/>
        </w:rPr>
      </w:r>
    </w:p>
    <w:p>
      <w:r>
        <w:t>按手机端、接口与数据库、识别与检索、部署与测试四个模块协作，具体人员分工由小组安排。前后端先约定请求、响应和状态码再并行开发；注册任务与签到任务共用图片校验和模型预处理。</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Mar>
              <w:top w:w="50" w:type="dxa"/>
              <w:bottom w:w="50" w:type="dxa"/>
              <w:left w:w="85" w:type="dxa"/>
              <w:right w:w="85" w:type="dxa"/>
            </w:tcMar>
            <w:shd w:fill="E9EEF2"/>
          </w:tcPr>
          <w:p>
            <w:pPr>
              <w:spacing w:before="30" w:after="30" w:line="259" w:lineRule="auto"/>
            </w:pPr>
            <w:r>
              <w:rPr>
                <w:b/>
                <w:color w:val="000000"/>
                <w:sz w:val="18"/>
              </w:rPr>
              <w:t>验收场景</w:t>
            </w:r>
          </w:p>
        </w:tc>
        <w:tc>
          <w:tcPr>
            <w:tcW w:type="dxa" w:w="7370"/>
            <w:vAlign w:val="center"/>
            <w:tcMar>
              <w:top w:w="50" w:type="dxa"/>
              <w:bottom w:w="50" w:type="dxa"/>
              <w:left w:w="85" w:type="dxa"/>
              <w:right w:w="85" w:type="dxa"/>
            </w:tcMar>
            <w:shd w:fill="E9EEF2"/>
          </w:tcPr>
          <w:p>
            <w:pPr>
              <w:spacing w:before="30" w:after="30" w:line="259" w:lineRule="auto"/>
            </w:pPr>
            <w:r>
              <w:rPr>
                <w:b/>
                <w:color w:val="000000"/>
                <w:sz w:val="18"/>
              </w:rPr>
              <w:t>必须观察到的结果</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注册并录入信息</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新账户与有效特征关联；不合格照片不导致假注册成功</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创建课程签到</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管理员选班级与起止时间；生成场次入口及应到名单</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已录入人员签到</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名单内人员无需登录，时间内换一张现场照片仍可成功签到</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未录入人员签到</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显示未识别；不误写任何已录入人员的成功记录</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异常与重复提交</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无脸、多脸、低质量有反馈；同人同场次最多一条，不同场次独立</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班级和时间边界</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非名单人员、未开始及截止后上传被拒绝；截止前接收的排队任务可正常完成</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场次统计</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应到、已签到、未签到可核对；截止后仍有任务时显示处理中</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权限与照片变更</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未登录不能查库或历史；用户不越权；删除照片后缓存失效</w:t>
            </w:r>
          </w:p>
        </w:tc>
      </w:tr>
      <w:tr>
        <w:trPr>
          <w:cantSplit/>
        </w:trPr>
        <w:tc>
          <w:tcPr>
            <w:tcW w:type="dxa" w:w="2494"/>
            <w:vAlign w:val="center"/>
            <w:tcMar>
              <w:top w:w="50" w:type="dxa"/>
              <w:bottom w:w="50" w:type="dxa"/>
              <w:left w:w="85" w:type="dxa"/>
              <w:right w:w="85" w:type="dxa"/>
            </w:tcMar>
          </w:tcPr>
          <w:p>
            <w:pPr>
              <w:spacing w:before="30" w:after="30" w:line="259" w:lineRule="auto"/>
            </w:pPr>
            <w:r>
              <w:rPr>
                <w:b w:val="0"/>
                <w:color w:val="000000"/>
                <w:sz w:val="18"/>
              </w:rPr>
              <w:t>公网与并发</w:t>
            </w:r>
          </w:p>
        </w:tc>
        <w:tc>
          <w:tcPr>
            <w:tcW w:type="dxa" w:w="7370"/>
            <w:vAlign w:val="center"/>
            <w:tcMar>
              <w:top w:w="50" w:type="dxa"/>
              <w:bottom w:w="50" w:type="dxa"/>
              <w:left w:w="85" w:type="dxa"/>
              <w:right w:w="85" w:type="dxa"/>
            </w:tcMar>
          </w:tcPr>
          <w:p>
            <w:pPr>
              <w:spacing w:before="30" w:after="30" w:line="259" w:lineRule="auto"/>
            </w:pPr>
            <w:r>
              <w:rPr>
                <w:b w:val="0"/>
                <w:color w:val="000000"/>
                <w:sz w:val="18"/>
              </w:rPr>
              <w:t>手机在外网完成闭环；拥堵、超时有反馈；重试不重复记账</w:t>
            </w:r>
          </w:p>
        </w:tc>
      </w:tr>
    </w:tbl>
    <w:p>
      <w:pPr>
        <w:spacing w:after="20" w:line="240" w:lineRule="auto"/>
      </w:pPr>
      <w:r>
        <w:rPr>
          <w:sz w:val="4"/>
        </w:rPr>
      </w:r>
    </w:p>
    <w:p>
      <w:r>
        <w:t>并发测试拟按 1、5、10、20 个并发请求逐档执行，并在接近资源上限时停止加压。记录服务器规格、样本数量、worker 数、吞吐量、端到端 P95 耗时、失败率及 CPU/内存占用；返回 202 不计为识别完成。功能正确性和实际容量分别报告。</w:t>
      </w:r>
    </w:p>
    <w:p>
      <w:pPr>
        <w:pStyle w:val="Heading2"/>
      </w:pPr>
      <w:r>
        <w:t>参考资料</w:t>
      </w:r>
    </w:p>
    <w:p>
      <w:pPr>
        <w:spacing w:line="252" w:lineRule="auto" w:after="60"/>
      </w:pPr>
      <w:r>
        <w:rPr>
          <w:sz w:val="16"/>
        </w:rPr>
        <w:t>[1] MDN，getUserMedia：https://developer.mozilla.org/en-US/docs/Web/API/MediaDevices/getUserMedia</w:t>
      </w:r>
    </w:p>
    <w:p>
      <w:pPr>
        <w:spacing w:line="252" w:lineRule="auto" w:after="60"/>
      </w:pPr>
      <w:r>
        <w:rPr>
          <w:sz w:val="16"/>
        </w:rPr>
        <w:t>[2] Celery，Windows 支持说明：https://docs.celeryq.dev/en/stable/faq.html#windows</w:t>
      </w:r>
    </w:p>
    <w:p>
      <w:pPr>
        <w:spacing w:line="252" w:lineRule="auto" w:after="60"/>
      </w:pPr>
      <w:r>
        <w:rPr>
          <w:sz w:val="16"/>
        </w:rPr>
        <w:t>[3] InsightFace，模型说明与许可：https://github.com/deepinsight/insightface/blob/master/python-package/docs/model_zoo.md</w:t>
      </w:r>
    </w:p>
    <w:p>
      <w:pPr>
        <w:spacing w:line="252" w:lineRule="auto" w:after="60"/>
      </w:pPr>
      <w:r>
        <w:rPr>
          <w:sz w:val="16"/>
        </w:rPr>
        <w:t>[4] ONNX Runtime，运行环境：https://onnxruntime.ai/docs/install/</w:t>
      </w:r>
    </w:p>
    <w:p>
      <w:pPr>
        <w:spacing w:line="252" w:lineRule="auto" w:after="60"/>
      </w:pPr>
      <w:r>
        <w:rPr>
          <w:sz w:val="16"/>
        </w:rPr>
        <w:t>[5] FastAPI，文件上传：https://fastapi.tiangolo.com/tutorial/request-files/</w:t>
      </w:r>
    </w:p>
    <w:p>
      <w:pPr>
        <w:spacing w:line="252" w:lineRule="auto" w:after="60"/>
      </w:pPr>
      <w:r>
        <w:rPr>
          <w:sz w:val="16"/>
        </w:rPr>
        <w:t>InsightFace 预训练模型按其非商业研究条款使用，课程测试仅采集经本人同意的照片，不将人脸照片和特征提交到 Git 仓库。</w:t>
      </w:r>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pPr>
    <w:rPr>
      <w:rFonts w:ascii="Calibri" w:hAnsi="Calibri" w:eastAsia="宋体"/>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60" w:line="293" w:lineRule="auto"/>
      <w:outlineLvl w:val="0"/>
    </w:pPr>
    <w:rPr>
      <w:rFonts w:asciiTheme="majorHAnsi" w:eastAsiaTheme="majorEastAsia" w:hAnsiTheme="majorHAnsi" w:cstheme="majorBidi" w:ascii="Calibri" w:hAnsi="Calibri" w:eastAsia="宋体"/>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60" w:after="100" w:line="293" w:lineRule="auto"/>
      <w:outlineLvl w:val="1"/>
    </w:pPr>
    <w:rPr>
      <w:rFonts w:asciiTheme="majorHAnsi" w:eastAsiaTheme="majorEastAsia" w:hAnsiTheme="majorHAnsi" w:cstheme="majorBidi" w:ascii="Calibri" w:hAnsi="Calibri" w:eastAsia="宋体"/>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93" w:lineRule="auto"/>
      <w:contextualSpacing/>
    </w:pPr>
    <w:rPr>
      <w:rFonts w:asciiTheme="majorHAnsi" w:eastAsiaTheme="majorEastAsia" w:hAnsiTheme="majorHAnsi" w:cstheme="majorBidi" w:ascii="Calibri" w:hAnsi="Calibri" w:eastAsia="宋体"/>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93" w:lineRule="auto" w:after="100"/>
    </w:pPr>
    <w:rPr>
      <w:rFonts w:asciiTheme="majorHAnsi" w:eastAsiaTheme="majorEastAsia" w:hAnsiTheme="majorHAnsi" w:cstheme="majorBidi" w:ascii="Calibri" w:hAnsi="Calibri" w:eastAsia="宋体"/>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93" w:lineRule="auto" w:after="100"/>
    </w:pPr>
    <w:rPr>
      <w:rFonts w:ascii="Calibri" w:hAnsi="Calibri"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云端人脸签到系统简要设计文档</dc:title>
  <dc:subject>云计算课程第一次提交</dc:subject>
  <dc:creator>李承垚、陈泽昊、何翌闻、陈旭枫</dc:creator>
  <cp:keywords>人脸签到 MySQL FastAPI 云计算</cp:keywords>
  <dc:description>generated by python-docx</dc:description>
  <cp:lastModifiedBy/>
  <cp:revision>1</cp:revision>
  <dcterms:created xsi:type="dcterms:W3CDTF">2013-12-23T23:15:00Z</dcterms:created>
  <dcterms:modified xsi:type="dcterms:W3CDTF">2013-12-23T23:15:00Z</dcterms:modified>
  <cp:category/>
</cp:coreProperties>
</file>