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Here’s what to expect in these folders: </w:t>
        <w:br w:type="textWrapping"/>
        <w:br w:type="textWrapping"/>
        <w:t xml:space="preserve">Root Folder contains: 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document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spreadsheet containing links to artist galleries that have multiple pieces of work that could be used for your token art.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collection of the token frames shared on the Odyssey of the Dragonlord Discord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Monsters &amp; Enemies contains: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spreadsheet containing the sources for the artworks contained in that folder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collection of different tokens useful for “Monster Manual” enemies such as standard beasts, constructs, ghosts, etc…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Named NPCs &amp; Enemies contains: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spreadsheet containing the sources for the artworks contained in that folder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collection of different tokens useful for the NPCs named within the campaign book, including named enemies. Examples include Kyrah and the rest of the 5 Gods, Hexia, Bullybug etc…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Nameless NPCs contains: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spreadsheet containing the sources for the artworks contained in that folder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collection of different tokens useful for unimportant NPCs you may want to populate maps with. Examples include basic elves, commoners, nobles etc…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NOTE: </w:t>
      </w:r>
      <w:r w:rsidDel="00000000" w:rsidR="00000000" w:rsidRPr="00000000">
        <w:rPr>
          <w:sz w:val="28"/>
          <w:szCs w:val="28"/>
          <w:rtl w:val="0"/>
        </w:rPr>
        <w:t xml:space="preserve">None of the official campaign book artwork will be included in these folders at request of the developers.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