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Бронникова</w:t>
      </w:r>
      <w:r>
        <w:t xml:space="preserve"> </w:t>
      </w:r>
      <w:r>
        <w:t xml:space="preserve">де</w:t>
      </w:r>
      <w:r>
        <w:t xml:space="preserve"> </w:t>
      </w:r>
      <w:r>
        <w:t xml:space="preserve">Менезеш</w:t>
      </w:r>
      <w:r>
        <w:t xml:space="preserve"> </w:t>
      </w:r>
      <w:r>
        <w:t xml:space="preserve">Эвелина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5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1" w:name="техническое-обеспечение"/>
    <w:p>
      <w:pPr>
        <w:pStyle w:val="Heading2"/>
      </w:pPr>
      <w:r>
        <w:rPr>
          <w:bCs/>
          <w:b/>
        </w:rPr>
        <w:t xml:space="preserve">Техническое обеспечение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Rocky (https://rockylinux.org/) или CentOS (https://www.centos.org/)).</w:t>
      </w:r>
    </w:p>
    <w:p>
      <w:pPr>
        <w:pStyle w:val="BodyText"/>
      </w:pPr>
      <w: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характеристиками:</w:t>
      </w:r>
      <w:r>
        <w:t xml:space="preserve"> </w:t>
      </w:r>
      <w:r>
        <w:t xml:space="preserve">– Intel Core i3-550 3.2 GHz, 4 GB оперативной памяти, 20 GB свободного места на жёстком диске;</w:t>
      </w:r>
      <w:r>
        <w:t xml:space="preserve"> </w:t>
      </w:r>
      <w:r>
        <w:t xml:space="preserve">– ОС Linux Gentoo (http://www.gentoo.ru/);</w:t>
      </w:r>
      <w:r>
        <w:t xml:space="preserve"> </w:t>
      </w:r>
      <w:r>
        <w:t xml:space="preserve">– VirtualBox верс. 6.1 или старше;</w:t>
      </w:r>
      <w:r>
        <w:t xml:space="preserve"> </w:t>
      </w:r>
      <w:r>
        <w:t xml:space="preserve">– каталог с образами ОС для работающих в дисплейном классе:</w:t>
      </w:r>
      <w:r>
        <w:t xml:space="preserve"> </w:t>
      </w:r>
      <w:r>
        <w:t xml:space="preserve">/afs/dk.sci.pfu.edu.ru/common/files/iso/.</w:t>
      </w:r>
    </w:p>
    <w:bookmarkEnd w:id="21"/>
    <w:bookmarkStart w:id="24" w:name="соглашения-об-именовании"/>
    <w:p>
      <w:pPr>
        <w:pStyle w:val="Heading2"/>
      </w:pPr>
      <w:r>
        <w:rPr>
          <w:bCs/>
          <w:b/>
        </w:rPr>
        <w:t xml:space="preserve">Соглашения об именовании</w:t>
      </w:r>
    </w:p>
    <w:p>
      <w:pPr>
        <w:pStyle w:val="FirstParagraph"/>
      </w:pPr>
      <w:r>
        <w:t xml:space="preserve">При выполнении работ следует придерживаться следующих правил именования:</w:t>
      </w:r>
      <w:r>
        <w:t xml:space="preserve"> </w:t>
      </w:r>
      <w:r>
        <w:rPr>
          <w:iCs/>
          <w:i/>
        </w:rPr>
        <w:t xml:space="preserve">имя виртуальной машины, имя хоста вашей виртуальной машины, пользователь внутри виртуальной машины</w:t>
      </w:r>
      <w:r>
        <w:t xml:space="preserve"> </w:t>
      </w:r>
      <w:r>
        <w:rPr>
          <w:bCs/>
          <w:b/>
        </w:rPr>
        <w:t xml:space="preserve">должны совпадать с логином студента, выполняющего лабораторную работу</w:t>
      </w:r>
      <w:r>
        <w:t xml:space="preserve">. Вы можете посмотреть ваш логин, набрав в терминале ОС типа Linux команду id -un.</w:t>
      </w:r>
      <w:r>
        <w:t xml:space="preserve"> </w:t>
      </w:r>
      <w:r>
        <w:rPr>
          <w:rStyle w:val="FootnoteReference"/>
        </w:rPr>
        <w:footnoteReference w:id="22"/>
      </w:r>
    </w:p>
    <w:bookmarkEnd w:id="24"/>
    <w:bookmarkEnd w:id="25"/>
    <w:bookmarkStart w:id="11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создания новой виртуальной машины необходимо запустить VirtualBox и выбрать</w:t>
      </w:r>
      <w:r>
        <w:t xml:space="preserve"> </w:t>
      </w:r>
      <w:r>
        <w:rPr>
          <w:iCs/>
          <w:i/>
        </w:rPr>
        <w:t xml:space="preserve">Машина &gt; Создать</w:t>
      </w:r>
      <w:r>
        <w:t xml:space="preserve">. Затем указать имя виртуальной машины (логин в дисплейном классе), тип операционной системы — Linux, RedHat.</w:t>
      </w:r>
    </w:p>
    <w:p>
      <w:pPr>
        <w:pStyle w:val="CaptionedFigure"/>
      </w:pPr>
      <w:bookmarkStart w:id="29" w:name="fig:001"/>
      <w:r>
        <w:drawing>
          <wp:inline>
            <wp:extent cx="3334870" cy="2850776"/>
            <wp:effectExtent b="0" l="0" r="0" t="0"/>
            <wp:docPr descr="Имя и тип ОС" title="" id="27" name="Picture"/>
            <a:graphic>
              <a:graphicData uri="http://schemas.openxmlformats.org/drawingml/2006/picture">
                <pic:pic>
                  <pic:nvPicPr>
                    <pic:cNvPr descr="IBPictures01/1.3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70" cy="2850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Имя и тип ОС</w:t>
      </w:r>
    </w:p>
    <w:p>
      <w:pPr>
        <w:pStyle w:val="BodyText"/>
      </w:pPr>
      <w:r>
        <w:t xml:space="preserve">Указать размер основной памяти виртуальной машины — 2048МБ (или большее число, кратное 1024 МБ, если позволяют технические характеристики компьютера).</w:t>
      </w:r>
    </w:p>
    <w:p>
      <w:pPr>
        <w:pStyle w:val="CaptionedFigure"/>
      </w:pPr>
      <w:bookmarkStart w:id="33" w:name="fig:002"/>
      <w:r>
        <w:drawing>
          <wp:inline>
            <wp:extent cx="3281082" cy="2773936"/>
            <wp:effectExtent b="0" l="0" r="0" t="0"/>
            <wp:docPr descr="Объём памяти виртуальной машины" title="" id="31" name="Picture"/>
            <a:graphic>
              <a:graphicData uri="http://schemas.openxmlformats.org/drawingml/2006/picture">
                <pic:pic>
                  <pic:nvPicPr>
                    <pic:cNvPr descr="IBPictures01/1.3_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82" cy="2773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Объём памяти виртуальной машины</w:t>
      </w:r>
    </w:p>
    <w:p>
      <w:pPr>
        <w:pStyle w:val="BodyText"/>
      </w:pPr>
      <w:r>
        <w:t xml:space="preserve">Задать конфигурации жёсткого диска — загрузочный,VDI (BirtualBox Disk Image), динамический виртуальный диск.</w:t>
      </w:r>
    </w:p>
    <w:p>
      <w:pPr>
        <w:pStyle w:val="CaptionedFigure"/>
      </w:pPr>
      <w:bookmarkStart w:id="37" w:name="fig:003"/>
      <w:r>
        <w:drawing>
          <wp:inline>
            <wp:extent cx="4310742" cy="2919932"/>
            <wp:effectExtent b="0" l="0" r="0" t="0"/>
            <wp:docPr descr="Конфигурация жёсткого диска" title="" id="35" name="Picture"/>
            <a:graphic>
              <a:graphicData uri="http://schemas.openxmlformats.org/drawingml/2006/picture">
                <pic:pic>
                  <pic:nvPicPr>
                    <pic:cNvPr descr="IBPictures01/1.3_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2" cy="2919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Конфигурация жёсткого диска</w:t>
      </w:r>
    </w:p>
    <w:p>
      <w:pPr>
        <w:pStyle w:val="BodyText"/>
      </w:pPr>
      <w:r>
        <w:t xml:space="preserve">Задать размер диска — 40 ГБ (или больше), его расположение — в данном случае /var/tmp/имя_пользователя/имя_пользователя.vdi.</w:t>
      </w:r>
    </w:p>
    <w:p>
      <w:pPr>
        <w:pStyle w:val="CaptionedFigure"/>
      </w:pPr>
      <w:bookmarkStart w:id="41" w:name="fig:004"/>
      <w:r>
        <w:drawing>
          <wp:inline>
            <wp:extent cx="4426003" cy="3304134"/>
            <wp:effectExtent b="0" l="0" r="0" t="0"/>
            <wp:docPr descr="Имя и размер виртуального жёсткого диска" title="" id="39" name="Picture"/>
            <a:graphic>
              <a:graphicData uri="http://schemas.openxmlformats.org/drawingml/2006/picture">
                <pic:pic>
                  <pic:nvPicPr>
                    <pic:cNvPr descr="IBPictures01/1.3_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03" cy="330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Имя и размер виртуального жёсткого диска</w:t>
      </w:r>
    </w:p>
    <w:p>
      <w:pPr>
        <w:pStyle w:val="BodyText"/>
      </w:pPr>
      <w:r>
        <w:t xml:space="preserve">Выбрав в VirtualBox для виртуальной машины</w:t>
      </w:r>
      <w:r>
        <w:t xml:space="preserve"> </w:t>
      </w:r>
      <w:r>
        <w:rPr>
          <w:iCs/>
          <w:i/>
        </w:rPr>
        <w:t xml:space="preserve">Настройки &gt; Носители</w:t>
      </w:r>
      <w:r>
        <w:t xml:space="preserve">, добавить новой привод оптических дисков и выбрать образ операционной системы, Rocky-9.0-x86_64-boot.iso.</w:t>
      </w:r>
    </w:p>
    <w:p>
      <w:pPr>
        <w:pStyle w:val="CaptionedFigure"/>
      </w:pPr>
      <w:bookmarkStart w:id="45" w:name="fig:005"/>
      <w:r>
        <w:drawing>
          <wp:inline>
            <wp:extent cx="5334000" cy="3703749"/>
            <wp:effectExtent b="0" l="0" r="0" t="0"/>
            <wp:docPr descr="Добавление нового привода оптических дисков" title="" id="43" name="Picture"/>
            <a:graphic>
              <a:graphicData uri="http://schemas.openxmlformats.org/drawingml/2006/picture">
                <pic:pic>
                  <pic:nvPicPr>
                    <pic:cNvPr descr="IBPictures01/1.3_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Добавление нового привода оптических дисков</w:t>
      </w:r>
    </w:p>
    <w:p>
      <w:pPr>
        <w:pStyle w:val="BodyText"/>
      </w:pPr>
      <w:r>
        <w:t xml:space="preserve">Затем запускается виртуальную машину. Необходимо выбрать English в качестве языка интерфейса и перейдите к настройкам установки операционной</w:t>
      </w:r>
      <w:r>
        <w:t xml:space="preserve"> </w:t>
      </w:r>
      <w:r>
        <w:t xml:space="preserve">системы.</w:t>
      </w:r>
    </w:p>
    <w:p>
      <w:pPr>
        <w:pStyle w:val="CaptionedFigure"/>
      </w:pPr>
      <w:bookmarkStart w:id="49" w:name="fig:006"/>
      <w:r>
        <w:drawing>
          <wp:inline>
            <wp:extent cx="5240510" cy="4318426"/>
            <wp:effectExtent b="0" l="0" r="0" t="0"/>
            <wp:docPr descr="Выбор языка интерфейса" title="" id="47" name="Picture"/>
            <a:graphic>
              <a:graphicData uri="http://schemas.openxmlformats.org/drawingml/2006/picture">
                <pic:pic>
                  <pic:nvPicPr>
                    <pic:cNvPr descr="IBPictures01/1.3_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0" cy="431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Выбор языка интерфейса</w:t>
      </w:r>
    </w:p>
    <w:p>
      <w:pPr>
        <w:pStyle w:val="CaptionedFigure"/>
      </w:pPr>
      <w:bookmarkStart w:id="53" w:name="fig:007"/>
      <w:r>
        <w:drawing>
          <wp:inline>
            <wp:extent cx="5217458" cy="4349163"/>
            <wp:effectExtent b="0" l="0" r="0" t="0"/>
            <wp:docPr descr="Настройки установки операционной системы" title="" id="51" name="Picture"/>
            <a:graphic>
              <a:graphicData uri="http://schemas.openxmlformats.org/drawingml/2006/picture">
                <pic:pic>
                  <pic:nvPicPr>
                    <pic:cNvPr descr="IBPictures01/1.3_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58" cy="4349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Настройки установки операционной системы</w:t>
      </w:r>
    </w:p>
    <w:p>
      <w:pPr>
        <w:pStyle w:val="BodyText"/>
      </w:pPr>
      <w:r>
        <w:t xml:space="preserve">Корректируем раскладку клавиатуры (добавился русский язык, но в качестве языка по умолчанию указан английский язык; задана комбинация клавиш для переключения между раскладками клавиатуры — Alt + Shift ).</w:t>
      </w:r>
    </w:p>
    <w:p>
      <w:pPr>
        <w:pStyle w:val="CaptionedFigure"/>
      </w:pPr>
      <w:bookmarkStart w:id="57" w:name="fig:008"/>
      <w:r>
        <w:drawing>
          <wp:inline>
            <wp:extent cx="5109882" cy="3865068"/>
            <wp:effectExtent b="0" l="0" r="0" t="0"/>
            <wp:docPr descr="Расклад клавиатуры" title="" id="55" name="Picture"/>
            <a:graphic>
              <a:graphicData uri="http://schemas.openxmlformats.org/drawingml/2006/picture">
                <pic:pic>
                  <pic:nvPicPr>
                    <pic:cNvPr descr="IBPictures01/1.3_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82" cy="386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Расклад клавиатуры</w:t>
      </w:r>
    </w:p>
    <w:p>
      <w:pPr>
        <w:pStyle w:val="BodyText"/>
      </w:pPr>
      <w:r>
        <w:t xml:space="preserve">В разделе выбора программ указывается в качестве базового окружения Server with GUI, а в качестве дополнения — Development Tools.</w:t>
      </w:r>
    </w:p>
    <w:p>
      <w:pPr>
        <w:pStyle w:val="CaptionedFigure"/>
      </w:pPr>
      <w:bookmarkStart w:id="61" w:name="fig:009"/>
      <w:r>
        <w:drawing>
          <wp:inline>
            <wp:extent cx="5171354" cy="4080221"/>
            <wp:effectExtent b="0" l="0" r="0" t="0"/>
            <wp:docPr descr="Раздел выбора программ" title="" id="59" name="Picture"/>
            <a:graphic>
              <a:graphicData uri="http://schemas.openxmlformats.org/drawingml/2006/picture">
                <pic:pic>
                  <pic:nvPicPr>
                    <pic:cNvPr descr="IBPictures01/1.3_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4080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Раздел выбора программ</w:t>
      </w:r>
    </w:p>
    <w:p>
      <w:pPr>
        <w:pStyle w:val="BodyText"/>
      </w:pPr>
      <w:r>
        <w:t xml:space="preserve">Отключается KDUMP.</w:t>
      </w:r>
    </w:p>
    <w:p>
      <w:pPr>
        <w:pStyle w:val="CaptionedFigure"/>
      </w:pPr>
      <w:bookmarkStart w:id="65" w:name="fig:009"/>
      <w:r>
        <w:drawing>
          <wp:inline>
            <wp:extent cx="5171354" cy="1921008"/>
            <wp:effectExtent b="0" l="0" r="0" t="0"/>
            <wp:docPr descr="Отключение KDUMP" title="" id="63" name="Picture"/>
            <a:graphic>
              <a:graphicData uri="http://schemas.openxmlformats.org/drawingml/2006/picture">
                <pic:pic>
                  <pic:nvPicPr>
                    <pic:cNvPr descr="IBPictures01/1.3_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192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Отключение KDUMP</w:t>
      </w:r>
    </w:p>
    <w:p>
      <w:pPr>
        <w:pStyle w:val="BodyText"/>
      </w:pPr>
      <w:r>
        <w:t xml:space="preserve">Место установки ОС оставляем без изменений. Проверяем сетевое соединение и в качестве имени узла указываем user.localdomain, где вместо user указано имя пользователя в соответствии с соглашением об именовании.</w:t>
      </w:r>
    </w:p>
    <w:p>
      <w:pPr>
        <w:pStyle w:val="CaptionedFigure"/>
      </w:pPr>
      <w:bookmarkStart w:id="69" w:name="fig:010"/>
      <w:r>
        <w:drawing>
          <wp:inline>
            <wp:extent cx="5163670" cy="4003381"/>
            <wp:effectExtent b="0" l="0" r="0" t="0"/>
            <wp:docPr descr="Сетевое соединение" title="" id="67" name="Picture"/>
            <a:graphic>
              <a:graphicData uri="http://schemas.openxmlformats.org/drawingml/2006/picture">
                <pic:pic>
                  <pic:nvPicPr>
                    <pic:cNvPr descr="IBPictures01/1.3_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70" cy="400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Сетевое соединение</w:t>
      </w:r>
    </w:p>
    <w:p>
      <w:pPr>
        <w:pStyle w:val="BodyText"/>
      </w:pPr>
      <w:r>
        <w:t xml:space="preserve">Устанавливается пароль для root и пользователя с правами администратора.</w:t>
      </w:r>
    </w:p>
    <w:p>
      <w:pPr>
        <w:pStyle w:val="CaptionedFigure"/>
      </w:pPr>
      <w:bookmarkStart w:id="73" w:name="fig:011"/>
      <w:r>
        <w:drawing>
          <wp:inline>
            <wp:extent cx="5171354" cy="1705855"/>
            <wp:effectExtent b="0" l="0" r="0" t="0"/>
            <wp:docPr descr="Установка пароля" title="" id="71" name="Picture"/>
            <a:graphic>
              <a:graphicData uri="http://schemas.openxmlformats.org/drawingml/2006/picture">
                <pic:pic>
                  <pic:nvPicPr>
                    <pic:cNvPr descr="IBPictures01/1.3_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170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Установка пароля</w:t>
      </w:r>
    </w:p>
    <w:p>
      <w:pPr>
        <w:pStyle w:val="BodyText"/>
      </w:pPr>
      <w:r>
        <w:t xml:space="preserve">После завершения установки операционной системы перезапустили виртуальную машину.</w:t>
      </w:r>
    </w:p>
    <w:p>
      <w:pPr>
        <w:pStyle w:val="BodyText"/>
      </w:pPr>
      <w:r>
        <w:t xml:space="preserve">Заходим в ОС под заданной при установке учётной записью. В меню</w:t>
      </w:r>
      <w:r>
        <w:t xml:space="preserve"> </w:t>
      </w:r>
      <w:r>
        <w:rPr>
          <w:iCs/>
          <w:i/>
        </w:rPr>
        <w:t xml:space="preserve">Устройства</w:t>
      </w:r>
      <w:r>
        <w:t xml:space="preserve"> </w:t>
      </w:r>
      <w:r>
        <w:t xml:space="preserve">виртуальной машины подключаем образ диска дополнений гостевой ОС. После загрузки дополнений нажимаем Enter и перезагружаем виртуальную машину.</w:t>
      </w:r>
    </w:p>
    <w:p>
      <w:pPr>
        <w:pStyle w:val="BodyText"/>
      </w:pPr>
      <w:r>
        <w:rPr>
          <w:bCs/>
          <w:b/>
        </w:rPr>
        <w:t xml:space="preserve">Домашнее задание</w:t>
      </w:r>
    </w:p>
    <w:p>
      <w:pPr>
        <w:pStyle w:val="BodyText"/>
      </w:pPr>
      <w: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 dmesg.</w:t>
      </w:r>
    </w:p>
    <w:p>
      <w:pPr>
        <w:pStyle w:val="CaptionedFigure"/>
      </w:pPr>
      <w:bookmarkStart w:id="77" w:name="fig:012"/>
      <w:r>
        <w:drawing>
          <wp:inline>
            <wp:extent cx="5334000" cy="4763099"/>
            <wp:effectExtent b="0" l="0" r="0" t="0"/>
            <wp:docPr descr="Команда dmesg" title="" id="75" name="Picture"/>
            <a:graphic>
              <a:graphicData uri="http://schemas.openxmlformats.org/drawingml/2006/picture">
                <pic:pic>
                  <pic:nvPicPr>
                    <pic:cNvPr descr="IBPictures01/1.4_0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Команда dmesg</w:t>
      </w:r>
    </w:p>
    <w:p>
      <w:pPr>
        <w:pStyle w:val="BodyText"/>
      </w:pPr>
      <w:r>
        <w:t xml:space="preserve">Можно просто просмотреть вывод этой команды:</w:t>
      </w:r>
      <w:r>
        <w:t xml:space="preserve"> </w:t>
      </w:r>
      <w:r>
        <w:rPr>
          <w:rStyle w:val="VerbatimChar"/>
        </w:rPr>
        <w:t xml:space="preserve">dmesg | less</w:t>
      </w:r>
    </w:p>
    <w:p>
      <w:pPr>
        <w:pStyle w:val="CaptionedFigure"/>
      </w:pPr>
      <w:bookmarkStart w:id="81" w:name="fig:013"/>
      <w:r>
        <w:drawing>
          <wp:inline>
            <wp:extent cx="5334000" cy="5025838"/>
            <wp:effectExtent b="0" l="0" r="0" t="0"/>
            <wp:docPr descr="Команда dmesg | less" title="" id="79" name="Picture"/>
            <a:graphic>
              <a:graphicData uri="http://schemas.openxmlformats.org/drawingml/2006/picture">
                <pic:pic>
                  <pic:nvPicPr>
                    <pic:cNvPr descr="IBPictures01/1.4_0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Команда dmesg | less</w:t>
      </w:r>
    </w:p>
    <w:p>
      <w:pPr>
        <w:pStyle w:val="BodyText"/>
      </w:pPr>
      <w:r>
        <w:t xml:space="preserve">Можно использовать поиск с помощью grep:</w:t>
      </w:r>
      <w:r>
        <w:t xml:space="preserve"> </w:t>
      </w:r>
      <w:r>
        <w:rPr>
          <w:rStyle w:val="VerbatimChar"/>
        </w:rPr>
        <w:t xml:space="preserve">dmesg | grep -i "то, что ищем"</w:t>
      </w:r>
      <w:r>
        <w:t xml:space="preserve"> </w:t>
      </w:r>
      <w:r>
        <w:t xml:space="preserve">Получите следующую информацию.</w:t>
      </w:r>
      <w:r>
        <w:t xml:space="preserve"> </w:t>
      </w:r>
      <w:r>
        <w:t xml:space="preserve">1. Версия ядра Linux (Linux version).</w:t>
      </w:r>
      <w:r>
        <w:t xml:space="preserve"> </w:t>
      </w:r>
      <w:bookmarkStart w:id="85" w:name="fig:014"/>
      <w:r>
        <w:drawing>
          <wp:inline>
            <wp:extent cx="5334000" cy="460041"/>
            <wp:effectExtent b="0" l="0" r="0" t="0"/>
            <wp:docPr descr="Версия ядра Linux" title="" id="83" name="Picture"/>
            <a:graphic>
              <a:graphicData uri="http://schemas.openxmlformats.org/drawingml/2006/picture">
                <pic:pic>
                  <pic:nvPicPr>
                    <pic:cNvPr descr="IBPictures01/1.4_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numPr>
          <w:ilvl w:val="0"/>
          <w:numId w:val="1001"/>
        </w:numPr>
      </w:pPr>
      <w:r>
        <w:t xml:space="preserve">Частота процессора (Detected Mhz processor).</w:t>
      </w:r>
      <w:r>
        <w:t xml:space="preserve"> </w:t>
      </w:r>
      <w:bookmarkStart w:id="89" w:name="fig:015"/>
      <w:r>
        <w:drawing>
          <wp:inline>
            <wp:extent cx="5334000" cy="454602"/>
            <wp:effectExtent b="0" l="0" r="0" t="0"/>
            <wp:docPr descr="Частота процессора" title="" id="87" name="Picture"/>
            <a:graphic>
              <a:graphicData uri="http://schemas.openxmlformats.org/drawingml/2006/picture">
                <pic:pic>
                  <pic:nvPicPr>
                    <pic:cNvPr descr="IBPictures01/1.4_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numPr>
          <w:ilvl w:val="0"/>
          <w:numId w:val="1001"/>
        </w:numPr>
      </w:pPr>
      <w:r>
        <w:t xml:space="preserve">Модель процессора (CPU0).</w:t>
      </w:r>
    </w:p>
    <w:p>
      <w:pPr>
        <w:pStyle w:val="CaptionedFigure"/>
      </w:pPr>
      <w:bookmarkStart w:id="93" w:name="fig:016"/>
      <w:r>
        <w:drawing>
          <wp:inline>
            <wp:extent cx="5334000" cy="247517"/>
            <wp:effectExtent b="0" l="0" r="0" t="0"/>
            <wp:docPr descr="Частота процессора" title="" id="91" name="Picture"/>
            <a:graphic>
              <a:graphicData uri="http://schemas.openxmlformats.org/drawingml/2006/picture">
                <pic:pic>
                  <pic:nvPicPr>
                    <pic:cNvPr descr="IBPictures01/1.4_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Частота процессора</w:t>
      </w:r>
    </w:p>
    <w:p>
      <w:pPr>
        <w:numPr>
          <w:ilvl w:val="0"/>
          <w:numId w:val="1002"/>
        </w:numPr>
        <w:pStyle w:val="Compact"/>
      </w:pPr>
      <w:r>
        <w:t xml:space="preserve">Объем доступной оперативной памяти (Memory available).</w:t>
      </w:r>
    </w:p>
    <w:p>
      <w:pPr>
        <w:pStyle w:val="CaptionedFigure"/>
      </w:pPr>
      <w:bookmarkStart w:id="97" w:name="fig:017"/>
      <w:r>
        <w:drawing>
          <wp:inline>
            <wp:extent cx="4625788" cy="922084"/>
            <wp:effectExtent b="0" l="0" r="0" t="0"/>
            <wp:docPr descr="Объем доступной оперативной памяти" title="" id="95" name="Picture"/>
            <a:graphic>
              <a:graphicData uri="http://schemas.openxmlformats.org/drawingml/2006/picture">
                <pic:pic>
                  <pic:nvPicPr>
                    <pic:cNvPr descr="IBPictures01/1.4_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8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Объем доступной оперативной памяти</w:t>
      </w:r>
    </w:p>
    <w:p>
      <w:pPr>
        <w:numPr>
          <w:ilvl w:val="0"/>
          <w:numId w:val="1003"/>
        </w:numPr>
        <w:pStyle w:val="Compact"/>
      </w:pPr>
      <w:r>
        <w:t xml:space="preserve">Тип обнаруженного гипервизора (Hypervisor detected).</w:t>
      </w:r>
    </w:p>
    <w:p>
      <w:pPr>
        <w:pStyle w:val="CaptionedFigure"/>
      </w:pPr>
      <w:bookmarkStart w:id="101" w:name="fig:018"/>
      <w:r>
        <w:drawing>
          <wp:inline>
            <wp:extent cx="5334000" cy="453296"/>
            <wp:effectExtent b="0" l="0" r="0" t="0"/>
            <wp:docPr descr="Тип обнаруженного гипервизора" title="" id="99" name="Picture"/>
            <a:graphic>
              <a:graphicData uri="http://schemas.openxmlformats.org/drawingml/2006/picture">
                <pic:pic>
                  <pic:nvPicPr>
                    <pic:cNvPr descr="IBPictures01/1.4_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Тип обнаруженного гипервизора</w:t>
      </w:r>
    </w:p>
    <w:p>
      <w:pPr>
        <w:numPr>
          <w:ilvl w:val="0"/>
          <w:numId w:val="1004"/>
        </w:numPr>
        <w:pStyle w:val="Compact"/>
      </w:pPr>
      <w:r>
        <w:t xml:space="preserve">Тип файловой системы корневого раздела.</w:t>
      </w:r>
    </w:p>
    <w:p>
      <w:pPr>
        <w:pStyle w:val="CaptionedFigure"/>
      </w:pPr>
      <w:bookmarkStart w:id="105" w:name="fig:019"/>
      <w:r>
        <w:drawing>
          <wp:inline>
            <wp:extent cx="5334000" cy="455248"/>
            <wp:effectExtent b="0" l="0" r="0" t="0"/>
            <wp:docPr descr="Тип файловой системы корневого раздела" title="" id="103" name="Picture"/>
            <a:graphic>
              <a:graphicData uri="http://schemas.openxmlformats.org/drawingml/2006/picture">
                <pic:pic>
                  <pic:nvPicPr>
                    <pic:cNvPr descr="IBPictures01/1.4_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Тип файловой системы корневого раздела</w:t>
      </w:r>
    </w:p>
    <w:p>
      <w:pPr>
        <w:numPr>
          <w:ilvl w:val="0"/>
          <w:numId w:val="1005"/>
        </w:numPr>
        <w:pStyle w:val="Compact"/>
      </w:pPr>
      <w:r>
        <w:t xml:space="preserve">Последовательность монтирования файловых систем.</w:t>
      </w:r>
    </w:p>
    <w:p>
      <w:pPr>
        <w:pStyle w:val="CaptionedFigure"/>
      </w:pPr>
      <w:bookmarkStart w:id="109" w:name="fig:020"/>
      <w:r>
        <w:drawing>
          <wp:inline>
            <wp:extent cx="5334000" cy="1999473"/>
            <wp:effectExtent b="0" l="0" r="0" t="0"/>
            <wp:docPr descr="Последовательность монтирования файловых систем" title="" id="107" name="Picture"/>
            <a:graphic>
              <a:graphicData uri="http://schemas.openxmlformats.org/drawingml/2006/picture">
                <pic:pic>
                  <pic:nvPicPr>
                    <pic:cNvPr descr="IBPictures01/1.4_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110"/>
    <w:bookmarkStart w:id="11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приобрелись практические навыки установки операционной системы на виртуальную машину и были выполнены все задания.</w:t>
      </w:r>
    </w:p>
    <w:bookmarkEnd w:id="111"/>
    <w:bookmarkStart w:id="112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Какую информацию содержит учётная запись пользователя?</w:t>
      </w:r>
      <w:r>
        <w:t xml:space="preserve"> </w:t>
      </w:r>
      <w:r>
        <w:rPr>
          <w:iCs/>
          <w:i/>
        </w:rPr>
        <w:t xml:space="preserve">Учётная запись пользователя содержит информацию о имени, пароле и доступе/полномочий пользователя</w:t>
      </w:r>
    </w:p>
    <w:p>
      <w:pPr>
        <w:numPr>
          <w:ilvl w:val="0"/>
          <w:numId w:val="1006"/>
        </w:numPr>
        <w:pStyle w:val="Compact"/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– для получения справки по команде;</w:t>
      </w:r>
      <w:r>
        <w:t xml:space="preserve"> </w:t>
      </w:r>
      <w:r>
        <w:rPr>
          <w:iCs/>
          <w:i/>
        </w:rPr>
        <w:t xml:space="preserve">help, например ls –help</w:t>
      </w:r>
      <w:r>
        <w:t xml:space="preserve"> </w:t>
      </w:r>
      <w:r>
        <w:t xml:space="preserve">– для перемещения по файловой системе;</w:t>
      </w:r>
      <w:r>
        <w:t xml:space="preserve"> </w:t>
      </w:r>
      <w:r>
        <w:rPr>
          <w:iCs/>
          <w:i/>
        </w:rPr>
        <w:t xml:space="preserve">cd, например cd</w:t>
      </w:r>
      <w:r>
        <w:rPr>
          <w:iCs/>
          <w:i/>
        </w:rPr>
        <w:t xml:space="preserve"> </w:t>
      </w:r>
      <w:r>
        <w:t xml:space="preserve"> </w:t>
      </w:r>
      <w:r>
        <w:t xml:space="preserve">– для просмотра содержимого каталога;</w:t>
      </w:r>
      <w:r>
        <w:t xml:space="preserve"> </w:t>
      </w:r>
      <w:r>
        <w:rPr>
          <w:iCs/>
          <w:i/>
        </w:rPr>
        <w:t xml:space="preserve">ls, например ls</w:t>
      </w:r>
      <w:r>
        <w:rPr>
          <w:iCs/>
          <w:i/>
        </w:rPr>
        <w:t xml:space="preserve"> </w:t>
      </w:r>
      <w:r>
        <w:t xml:space="preserve"> </w:t>
      </w:r>
      <w:r>
        <w:t xml:space="preserve">– для определения объёма каталога;</w:t>
      </w:r>
      <w:r>
        <w:t xml:space="preserve"> </w:t>
      </w:r>
      <w:r>
        <w:rPr>
          <w:iCs/>
          <w:i/>
        </w:rPr>
        <w:t xml:space="preserve">du</w:t>
      </w:r>
      <w:r>
        <w:rPr>
          <w:iCs/>
          <w:i/>
        </w:rPr>
        <w:t xml:space="preserve"> </w:t>
      </w:r>
      <w:r>
        <w:t xml:space="preserve"> </w:t>
      </w:r>
      <w:r>
        <w:t xml:space="preserve">– для создания / удаления каталогов / файлов;</w:t>
      </w:r>
      <w:r>
        <w:t xml:space="preserve"> </w:t>
      </w:r>
      <w:r>
        <w:rPr>
          <w:iCs/>
          <w:i/>
        </w:rPr>
        <w:t xml:space="preserve">mkdir/rm</w:t>
      </w:r>
      <w:r>
        <w:rPr>
          <w:iCs/>
          <w:i/>
        </w:rPr>
        <w:t xml:space="preserve"> </w:t>
      </w:r>
      <w:r>
        <w:t xml:space="preserve"> </w:t>
      </w:r>
      <w:r>
        <w:t xml:space="preserve">– для задания определённых прав на файл / каталог;</w:t>
      </w:r>
      <w:r>
        <w:t xml:space="preserve"> </w:t>
      </w:r>
      <w:r>
        <w:rPr>
          <w:iCs/>
          <w:i/>
        </w:rPr>
        <w:t xml:space="preserve">chmod, например chmod u+x</w:t>
      </w:r>
      <w:r>
        <w:rPr>
          <w:iCs/>
          <w:i/>
        </w:rPr>
        <w:t xml:space="preserve"> </w:t>
      </w:r>
      <w:r>
        <w:t xml:space="preserve"> </w:t>
      </w:r>
      <w:r>
        <w:t xml:space="preserve">– для просмотра истории команд.</w:t>
      </w:r>
      <w:r>
        <w:t xml:space="preserve"> </w:t>
      </w:r>
      <w:r>
        <w:rPr>
          <w:iCs/>
          <w:i/>
        </w:rPr>
        <w:t xml:space="preserve">history</w:t>
      </w:r>
    </w:p>
    <w:p>
      <w:pPr>
        <w:numPr>
          <w:ilvl w:val="0"/>
          <w:numId w:val="1006"/>
        </w:numPr>
        <w:pStyle w:val="Compact"/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rPr>
          <w:iCs/>
          <w:i/>
        </w:rPr>
        <w:t xml:space="preserve">Файловая система — правила порядка, определяющие организацию, хранение и именование данных на носителях информации. Например, система «FAT32» логически разделена на три сопредельные области: зарезервированную область для служебных структур, табличную форму указателей и зону записи содержимого файлов. Однако размер отдельных файлов на диске с этой системой не может превышать четыре гигабайта. В отличие от «exFAT», которая также отличается по сниженному числу перезаписей секторов, ответственных за хранение информации, но в остальном похоже на «FAT32».</w:t>
      </w:r>
    </w:p>
    <w:p>
      <w:pPr>
        <w:numPr>
          <w:ilvl w:val="0"/>
          <w:numId w:val="1006"/>
        </w:numPr>
        <w:pStyle w:val="Compact"/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rPr>
          <w:iCs/>
          <w:i/>
        </w:rPr>
        <w:t xml:space="preserve">Использовать findmnt.</w:t>
      </w:r>
    </w:p>
    <w:p>
      <w:pPr>
        <w:numPr>
          <w:ilvl w:val="0"/>
          <w:numId w:val="1006"/>
        </w:numPr>
        <w:pStyle w:val="Compact"/>
      </w:pPr>
      <w:r>
        <w:t xml:space="preserve">Как удалить зависший процесс?</w:t>
      </w:r>
      <w:r>
        <w:t xml:space="preserve"> </w:t>
      </w:r>
      <w:r>
        <w:rPr>
          <w:iCs/>
          <w:i/>
        </w:rPr>
        <w:t xml:space="preserve">Использовать kill. Например, kill</w:t>
      </w:r>
      <w:r>
        <w:rPr>
          <w:iCs/>
          <w:i/>
        </w:rPr>
        <w:t xml:space="preserve"> </w:t>
      </w:r>
    </w:p>
    <w:bookmarkEnd w:id="112"/>
    <w:bookmarkStart w:id="113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7"/>
        </w:numPr>
        <w:pStyle w:val="Compact"/>
      </w:pPr>
      <w:hyperlink r:id="rId23">
        <w:r>
          <w:rPr>
            <w:rStyle w:val="Hyperlink"/>
          </w:rPr>
          <w:t xml:space="preserve">Кулябов Д.С. Лабораторная работа № 1. Установка и конфигурация операционной системы на виртуальную машину - 14 c.</w:t>
        </w:r>
      </w:hyperlink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3">
        <w:r>
          <w:rPr>
            <w:rStyle w:val="Hyperlink"/>
          </w:rPr>
          <w:t xml:space="preserve">Кулябов Д.С. Лабораторная работа № 1. Установка и конфигурация операционной системы на виртуальную машину - 14 c.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hyperlink" Id="rId23" Target="https://esystem.rudn.ru/pluginfile.php/1651880/mod_folder/content/0/001-lab_virtualbox.pdf?forcedownload=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esystem.rudn.ru/pluginfile.php/1651880/mod_folder/content/0/001-lab_virtualbox.pdf?forcedownload=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Бронникова де Менезеш Эвелина</dc:creator>
  <dc:language>ru-RU</dc:language>
  <cp:keywords/>
  <dcterms:created xsi:type="dcterms:W3CDTF">2022-09-11T02:19:47Z</dcterms:created>
  <dcterms:modified xsi:type="dcterms:W3CDTF">2022-09-11T02:19:47Z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Установка и конфигурация операционной системы на виртуальную машину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