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200" w:rsidRDefault="00BD3036">
      <w:pPr>
        <w:pStyle w:val="a4"/>
      </w:pPr>
      <w:r>
        <w:t>Отчёт по лабораторной работе №6</w:t>
      </w:r>
    </w:p>
    <w:p w:rsidR="00695200" w:rsidRDefault="00BD3036">
      <w:pPr>
        <w:pStyle w:val="a5"/>
      </w:pPr>
      <w:r>
        <w:t>Вариант 5</w:t>
      </w:r>
    </w:p>
    <w:p w:rsidR="00695200" w:rsidRDefault="00BD3036">
      <w:pPr>
        <w:pStyle w:val="Author"/>
      </w:pPr>
      <w:r>
        <w:t>Бронникова де Менезеш Эвелина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60286484"/>
        <w:docPartObj>
          <w:docPartGallery w:val="Table of Contents"/>
          <w:docPartUnique/>
        </w:docPartObj>
      </w:sdtPr>
      <w:sdtEndPr/>
      <w:sdtContent>
        <w:p w:rsidR="00695200" w:rsidRDefault="00BD3036">
          <w:pPr>
            <w:pStyle w:val="ae"/>
          </w:pPr>
          <w:r>
            <w:t>Содержание</w:t>
          </w:r>
        </w:p>
        <w:p w:rsidR="008618F0" w:rsidRDefault="00BD303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8618F0">
            <w:fldChar w:fldCharType="separate"/>
          </w:r>
          <w:hyperlink w:anchor="_Toc98332393" w:history="1">
            <w:r w:rsidR="008618F0" w:rsidRPr="00B63C9A">
              <w:rPr>
                <w:rStyle w:val="ad"/>
                <w:noProof/>
              </w:rPr>
              <w:t>1</w:t>
            </w:r>
            <w:r w:rsidR="008618F0">
              <w:rPr>
                <w:noProof/>
              </w:rPr>
              <w:tab/>
            </w:r>
            <w:r w:rsidR="008618F0" w:rsidRPr="00B63C9A">
              <w:rPr>
                <w:rStyle w:val="ad"/>
                <w:noProof/>
              </w:rPr>
              <w:t>Цель работы</w:t>
            </w:r>
            <w:r w:rsidR="008618F0">
              <w:rPr>
                <w:noProof/>
                <w:webHidden/>
              </w:rPr>
              <w:tab/>
            </w:r>
            <w:r w:rsidR="008618F0">
              <w:rPr>
                <w:noProof/>
                <w:webHidden/>
              </w:rPr>
              <w:fldChar w:fldCharType="begin"/>
            </w:r>
            <w:r w:rsidR="008618F0">
              <w:rPr>
                <w:noProof/>
                <w:webHidden/>
              </w:rPr>
              <w:instrText xml:space="preserve"> PAGEREF _Toc98332393 \h </w:instrText>
            </w:r>
            <w:r w:rsidR="008618F0">
              <w:rPr>
                <w:noProof/>
                <w:webHidden/>
              </w:rPr>
            </w:r>
            <w:r w:rsidR="008618F0">
              <w:rPr>
                <w:noProof/>
                <w:webHidden/>
              </w:rPr>
              <w:fldChar w:fldCharType="separate"/>
            </w:r>
            <w:r w:rsidR="008618F0">
              <w:rPr>
                <w:noProof/>
                <w:webHidden/>
              </w:rPr>
              <w:t>1</w:t>
            </w:r>
            <w:r w:rsidR="008618F0">
              <w:rPr>
                <w:noProof/>
                <w:webHidden/>
              </w:rPr>
              <w:fldChar w:fldCharType="end"/>
            </w:r>
          </w:hyperlink>
        </w:p>
        <w:p w:rsidR="008618F0" w:rsidRDefault="008618F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332394" w:history="1">
            <w:r w:rsidRPr="00B63C9A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B63C9A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8F0" w:rsidRDefault="008618F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332395" w:history="1">
            <w:r w:rsidRPr="00B63C9A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B63C9A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8F0" w:rsidRDefault="008618F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332396" w:history="1">
            <w:r w:rsidRPr="00B63C9A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B63C9A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8F0" w:rsidRDefault="008618F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332397" w:history="1">
            <w:r w:rsidRPr="00B63C9A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B63C9A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8F0" w:rsidRDefault="008618F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332398" w:history="1">
            <w:r w:rsidRPr="00B63C9A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B63C9A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00" w:rsidRDefault="00BD3036">
          <w:r>
            <w:fldChar w:fldCharType="end"/>
          </w:r>
        </w:p>
      </w:sdtContent>
    </w:sdt>
    <w:p w:rsidR="00695200" w:rsidRDefault="00BD3036">
      <w:pPr>
        <w:pStyle w:val="1"/>
      </w:pPr>
      <w:bookmarkStart w:id="0" w:name="цель-работы"/>
      <w:bookmarkStart w:id="1" w:name="_Toc98332393"/>
      <w:r>
        <w:rPr>
          <w:rStyle w:val="SectionNumber"/>
        </w:rPr>
        <w:t>1</w:t>
      </w:r>
      <w:r>
        <w:tab/>
        <w:t>Цель работы</w:t>
      </w:r>
      <w:bookmarkEnd w:id="1"/>
    </w:p>
    <w:p w:rsidR="00695200" w:rsidRDefault="00BD3036">
      <w:pPr>
        <w:pStyle w:val="FirstParagraph"/>
      </w:pPr>
      <w:r>
        <w:t>Рассмотреть простейшую модель эпидемии и построить соответствующие модели, используя программу OpenModelica. В частности, необходимо построить графики изменения числа особей в трех группах людей - заболевших, здоровых с иммунитетом к болезни и восприимчивы</w:t>
      </w:r>
      <w:r>
        <w:t>х к болезни, но пока здоровых.</w:t>
      </w:r>
    </w:p>
    <w:p w:rsidR="00695200" w:rsidRDefault="00BD3036">
      <w:pPr>
        <w:pStyle w:val="1"/>
      </w:pPr>
      <w:bookmarkStart w:id="2" w:name="задание"/>
      <w:bookmarkStart w:id="3" w:name="_Toc98332394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:rsidR="00695200" w:rsidRDefault="00BD3036">
      <w:pPr>
        <w:pStyle w:val="FirstParagraph"/>
      </w:pPr>
      <w:r>
        <w:t xml:space="preserve">На одном острове вспыхнула эпидемия. Известно, что из всех проживающих на острове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11000</m:t>
            </m:r>
          </m:e>
        </m:d>
      </m:oMath>
      <w:r>
        <w:t xml:space="preserve"> в момент начала эпидемии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число заболевших людей (являющихся распространителями инфекции)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111</m:t>
        </m:r>
      </m:oMath>
      <w:r>
        <w:t>, А число здоровых люде</w:t>
      </w:r>
      <w:r>
        <w:t xml:space="preserve">й с иммунитетом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</m:t>
        </m:r>
      </m:oMath>
      <w:r>
        <w:t xml:space="preserve">. Таким образом, число людей восприимчивых к болезни, но пока здоровых, в начальный момент времени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.</w:t>
      </w:r>
    </w:p>
    <w:p w:rsidR="00695200" w:rsidRDefault="00BD3036">
      <w:pPr>
        <w:pStyle w:val="a0"/>
      </w:pPr>
      <w:r>
        <w:t xml:space="preserve">Постройте графики изменения числа особей в каждой из трех групп. Рассмотрите, как будет протекать эпидемия в </w:t>
      </w:r>
      <w:r>
        <w:t>случае:</w:t>
      </w:r>
    </w:p>
    <w:p w:rsidR="00695200" w:rsidRDefault="00BD3036">
      <w:pPr>
        <w:numPr>
          <w:ilvl w:val="0"/>
          <w:numId w:val="2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695200" w:rsidRDefault="00BD3036">
      <w:pPr>
        <w:numPr>
          <w:ilvl w:val="0"/>
          <w:numId w:val="2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Style w:val="ac"/>
        </w:rPr>
        <w:footnoteReference w:id="1"/>
      </w:r>
    </w:p>
    <w:p w:rsidR="00695200" w:rsidRDefault="00BD3036">
      <w:pPr>
        <w:pStyle w:val="1"/>
      </w:pPr>
      <w:bookmarkStart w:id="4" w:name="теоретическое-введение"/>
      <w:bookmarkStart w:id="5" w:name="_Toc98332395"/>
      <w:bookmarkEnd w:id="2"/>
      <w:r>
        <w:rPr>
          <w:rStyle w:val="SectionNumber"/>
        </w:rPr>
        <w:lastRenderedPageBreak/>
        <w:t>3</w:t>
      </w:r>
      <w:r>
        <w:tab/>
        <w:t>Теоретическое введение</w:t>
      </w:r>
      <w:bookmarkEnd w:id="5"/>
    </w:p>
    <w:p w:rsidR="00695200" w:rsidRDefault="00BD3036">
      <w:pPr>
        <w:pStyle w:val="FirstParagraph"/>
      </w:pPr>
      <w:r>
        <w:rPr>
          <w:b/>
          <w:bCs/>
        </w:rPr>
        <w:t>Задача об эпидемии</w:t>
      </w:r>
    </w:p>
    <w:p w:rsidR="00695200" w:rsidRDefault="00BD3036">
      <w:pPr>
        <w:pStyle w:val="a0"/>
      </w:pPr>
      <w:r>
        <w:t xml:space="preserve">Рассмотрим простейшую модель эпидемии. Предположим, что некая популяция, состоящая из </w:t>
      </w:r>
      <m:oMath>
        <m:r>
          <w:rPr>
            <w:rFonts w:ascii="Cambria Math" w:hAnsi="Cambria Math"/>
          </w:rPr>
          <m:t>N</m:t>
        </m:r>
      </m:oMath>
      <w:r>
        <w:t xml:space="preserve"> особей, (считаем, что популяция изолирована) подразделяется на три группы. Первая группа</w:t>
      </w:r>
      <w:r>
        <w:t xml:space="preserve"> - это восприимчивые к болезни, но пока здоровые особи, обозначим их через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А третья группа, обозначающаяся через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– э</w:t>
      </w:r>
      <w:r>
        <w:t>то здоровые особи с иммунитетом к болезни.</w:t>
      </w:r>
    </w:p>
    <w:p w:rsidR="00695200" w:rsidRDefault="00BD3036">
      <w:pPr>
        <w:pStyle w:val="a0"/>
      </w:pPr>
      <w:r>
        <w:t xml:space="preserve">До того, как число заболевших не превышает критического значения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, считаем, что все больные изолированы и не заражают здоровых. Когда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тогда инфицирование способны заражать восприимчивых к болезни особей.</w:t>
      </w:r>
    </w:p>
    <w:p w:rsidR="00695200" w:rsidRDefault="00BD3036">
      <w:pPr>
        <w:pStyle w:val="a0"/>
      </w:pPr>
      <w:r>
        <w:t xml:space="preserve">Таким образом, скорость изменения числа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меняется по следующему закону:</w:t>
      </w:r>
    </w:p>
    <w:p w:rsidR="00695200" w:rsidRDefault="00BD3036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:rsidR="00695200" w:rsidRDefault="00BD3036">
      <w:pPr>
        <w:pStyle w:val="FirstParagraph"/>
      </w:pPr>
      <w:r>
        <w:t>Поскольку каждая восприимчивая к болезни особь, которая, в конце к</w:t>
      </w:r>
      <w:r>
        <w:t>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 w:rsidR="00695200" w:rsidRDefault="00BD3036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:rsidR="00695200" w:rsidRDefault="00BD3036">
      <w:pPr>
        <w:pStyle w:val="FirstParagraph"/>
      </w:pPr>
      <w:r>
        <w:t>А скорос</w:t>
      </w:r>
      <w:r>
        <w:t>ть изменения выздоравливающих особей (при этом приобретающие иммунитет к болезни)</w:t>
      </w:r>
    </w:p>
    <w:p w:rsidR="00695200" w:rsidRDefault="00BD3036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</m:oMath>
      </m:oMathPara>
    </w:p>
    <w:p w:rsidR="00695200" w:rsidRDefault="00BD3036">
      <w:pPr>
        <w:pStyle w:val="FirstParagraph"/>
      </w:pPr>
      <w:r>
        <w:t xml:space="preserve">Постоянные пропорциональности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</m:oMath>
      <w:r>
        <w:t xml:space="preserve"> - это коэффициенты заболеваемости и выздоровления соответственно.</w:t>
      </w:r>
    </w:p>
    <w:p w:rsidR="00695200" w:rsidRDefault="00BD3036">
      <w:pPr>
        <w:pStyle w:val="a0"/>
      </w:pPr>
      <w:r>
        <w:t>Для того, чтобы решения соответствующих уравнений определя</w:t>
      </w:r>
      <w:r>
        <w:t xml:space="preserve">лось однозначно, необходимо задать начальные условия. Считаем, что на начало эпидемии в момент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нет особей с иммунитетом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а число инфицированных и восприимчивых к болезни особей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соответственно. Для анализа картины прот</w:t>
      </w:r>
      <w:r>
        <w:t xml:space="preserve">екания эпидемии необходимо рассмотреть два случая: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  <w:r>
        <w:rPr>
          <w:rStyle w:val="ac"/>
        </w:rPr>
        <w:footnoteReference w:id="2"/>
      </w:r>
    </w:p>
    <w:p w:rsidR="00695200" w:rsidRDefault="00BD3036">
      <w:pPr>
        <w:pStyle w:val="1"/>
      </w:pPr>
      <w:bookmarkStart w:id="6" w:name="выполнение-лабораторной-работы"/>
      <w:bookmarkStart w:id="7" w:name="_Toc98332396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:rsidR="00695200" w:rsidRDefault="00BD3036">
      <w:pPr>
        <w:pStyle w:val="Compact"/>
        <w:numPr>
          <w:ilvl w:val="0"/>
          <w:numId w:val="3"/>
        </w:numPr>
      </w:pPr>
      <w:r>
        <w:t xml:space="preserve">Случай 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(случай 1)</w:t>
      </w:r>
    </w:p>
    <w:p w:rsidR="00695200" w:rsidRDefault="00695200">
      <w:pPr>
        <w:pStyle w:val="Compact"/>
        <w:numPr>
          <w:ilvl w:val="0"/>
          <w:numId w:val="4"/>
        </w:numPr>
      </w:pPr>
    </w:p>
    <w:p w:rsidR="00695200" w:rsidRDefault="00BD3036">
      <w:pPr>
        <w:pStyle w:val="Compact"/>
        <w:numPr>
          <w:ilvl w:val="1"/>
          <w:numId w:val="5"/>
        </w:numPr>
      </w:pPr>
      <w:r>
        <w:lastRenderedPageBreak/>
        <w:t>Написание программы с необходимыми условиями в OpenModelica.</w:t>
      </w:r>
    </w:p>
    <w:p w:rsidR="00695200" w:rsidRDefault="00BD3036">
      <w:pPr>
        <w:pStyle w:val="CaptionedFigure"/>
      </w:pPr>
      <w:bookmarkStart w:id="8" w:name="fig:001"/>
      <w:r>
        <w:rPr>
          <w:noProof/>
          <w:lang w:eastAsia="ru-RU"/>
        </w:rPr>
        <w:drawing>
          <wp:inline distT="0" distB="0" distL="0" distR="0">
            <wp:extent cx="2658675" cy="2528047"/>
            <wp:effectExtent l="0" t="0" r="0" b="0"/>
            <wp:docPr id="28" name="Picture" descr="Figure 1: Рис.1.1 Программа в OpenModelica для случая 1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MMPictures06/1.1v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675" cy="2528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695200" w:rsidRDefault="00BD3036">
      <w:pPr>
        <w:pStyle w:val="ImageCaption"/>
      </w:pPr>
      <w:r>
        <w:t xml:space="preserve">Figure 1: Рис.1.1 Программа в </w:t>
      </w:r>
      <w:proofErr w:type="spellStart"/>
      <w:r>
        <w:t>OpenModelica</w:t>
      </w:r>
      <w:proofErr w:type="spellEnd"/>
      <w:r>
        <w:t xml:space="preserve"> для случая 1</w:t>
      </w:r>
    </w:p>
    <w:p w:rsidR="00695200" w:rsidRDefault="00695200">
      <w:pPr>
        <w:pStyle w:val="Compact"/>
        <w:numPr>
          <w:ilvl w:val="0"/>
          <w:numId w:val="6"/>
        </w:numPr>
      </w:pPr>
    </w:p>
    <w:p w:rsidR="00695200" w:rsidRDefault="00BD3036">
      <w:pPr>
        <w:pStyle w:val="Compact"/>
        <w:numPr>
          <w:ilvl w:val="1"/>
          <w:numId w:val="7"/>
        </w:numPr>
      </w:pPr>
      <w:r>
        <w:t xml:space="preserve">Построение графика изменения числа особей в каждой из трех групп для случая, 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:rsidR="00695200" w:rsidRDefault="00BD3036">
      <w:pPr>
        <w:pStyle w:val="FirstParagraph"/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10878</m:t>
          </m:r>
        </m:oMath>
      </m:oMathPara>
    </w:p>
    <w:p w:rsidR="00695200" w:rsidRDefault="00BD3036">
      <w:pPr>
        <w:pStyle w:val="CaptionedFigure"/>
      </w:pPr>
      <w:bookmarkStart w:id="9" w:name="fig:002"/>
      <w:r>
        <w:rPr>
          <w:noProof/>
          <w:lang w:eastAsia="ru-RU"/>
        </w:rPr>
        <w:drawing>
          <wp:inline distT="0" distB="0" distL="0" distR="0">
            <wp:extent cx="5334000" cy="2473228"/>
            <wp:effectExtent l="0" t="0" r="0" b="0"/>
            <wp:docPr id="32" name="Picture" descr="Figure 2: Рис.1.2 График изменения числа особей в группе с иммунитетом к болезни и группе инфицированных и восприимчивых к болезни в случа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MMPictures06/1.2_1v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695200" w:rsidRDefault="00BD3036">
      <w:pPr>
        <w:pStyle w:val="ImageCaption"/>
      </w:pPr>
      <w:r>
        <w:t>Figure 2: Рис.1.2 График изменения числа особей в группе с иммунитетом к болезни и группе инфицированных и восприимчивых к болезни в случае 1</w:t>
      </w:r>
    </w:p>
    <w:p w:rsidR="00695200" w:rsidRDefault="00BD3036">
      <w:pPr>
        <w:pStyle w:val="CaptionedFigure"/>
      </w:pPr>
      <w:bookmarkStart w:id="10" w:name="fig:003"/>
      <w:r>
        <w:rPr>
          <w:noProof/>
          <w:lang w:eastAsia="ru-RU"/>
        </w:rPr>
        <w:lastRenderedPageBreak/>
        <w:drawing>
          <wp:inline distT="0" distB="0" distL="0" distR="0">
            <wp:extent cx="5334000" cy="2455333"/>
            <wp:effectExtent l="0" t="0" r="0" b="0"/>
            <wp:docPr id="36" name="Picture" descr="Figure 3: Рис.1.3 График изменения числа особей в трех группах в случа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MMPictures06/1.2_2v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695200" w:rsidRDefault="00BD3036">
      <w:pPr>
        <w:pStyle w:val="ImageCaption"/>
      </w:pPr>
      <w:r>
        <w:t>Figure 3: Рис.1.3 График изменения числа особей в трех группах в случае 1</w:t>
      </w:r>
    </w:p>
    <w:p w:rsidR="00695200" w:rsidRDefault="00BD3036">
      <w:pPr>
        <w:pStyle w:val="a0"/>
      </w:pPr>
      <w:r>
        <w:t>По графикам можно увидеть, что со временем число инфицированных особей, которые при этом являются распространителями инфекции (</w:t>
      </w:r>
      <m:oMath>
        <m:r>
          <w:rPr>
            <w:rFonts w:ascii="Cambria Math" w:hAnsi="Cambria Math"/>
          </w:rPr>
          <m:t>I</m:t>
        </m:r>
      </m:oMath>
      <w:r>
        <w:t>) уменьшается. А здоровых особей с иммунитетом к б</w:t>
      </w:r>
      <w:r>
        <w:t>олезни (</w:t>
      </w:r>
      <m:oMath>
        <m:r>
          <w:rPr>
            <w:rFonts w:ascii="Cambria Math" w:hAnsi="Cambria Math"/>
          </w:rPr>
          <m:t>R</m:t>
        </m:r>
      </m:oMath>
      <w:r>
        <w:t>) увеличивается. В то время как число восприимчивых к болезни, но пока здоровые особей (</w:t>
      </w:r>
      <m:oMath>
        <m:r>
          <w:rPr>
            <w:rFonts w:ascii="Cambria Math" w:hAnsi="Cambria Math"/>
          </w:rPr>
          <m:t>S</m:t>
        </m:r>
      </m:oMath>
      <w:r>
        <w:t>) не меняется. Таким образом наблюдается, что все больные изолированы и не заражают здоровых, а выздоравливающие особи при этом приобретают иммунитет к боле</w:t>
      </w:r>
      <w:r>
        <w:t>зни.</w:t>
      </w:r>
    </w:p>
    <w:p w:rsidR="00695200" w:rsidRDefault="00BD3036">
      <w:pPr>
        <w:pStyle w:val="Compact"/>
        <w:numPr>
          <w:ilvl w:val="0"/>
          <w:numId w:val="8"/>
        </w:numPr>
      </w:pPr>
      <w:r>
        <w:t xml:space="preserve">Случай 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(случай 2)</w:t>
      </w:r>
    </w:p>
    <w:p w:rsidR="00695200" w:rsidRDefault="00695200">
      <w:pPr>
        <w:pStyle w:val="Compact"/>
        <w:numPr>
          <w:ilvl w:val="0"/>
          <w:numId w:val="9"/>
        </w:numPr>
      </w:pPr>
    </w:p>
    <w:p w:rsidR="00695200" w:rsidRDefault="00BD3036">
      <w:pPr>
        <w:pStyle w:val="Compact"/>
        <w:numPr>
          <w:ilvl w:val="1"/>
          <w:numId w:val="10"/>
        </w:numPr>
      </w:pPr>
      <w:r>
        <w:t>Написание программы с необходимыми условиями в OpenModelica.</w:t>
      </w:r>
    </w:p>
    <w:p w:rsidR="00695200" w:rsidRDefault="00BD3036">
      <w:pPr>
        <w:pStyle w:val="CaptionedFigure"/>
      </w:pPr>
      <w:bookmarkStart w:id="11" w:name="fig:004"/>
      <w:r>
        <w:rPr>
          <w:noProof/>
          <w:lang w:eastAsia="ru-RU"/>
        </w:rPr>
        <w:drawing>
          <wp:inline distT="0" distB="0" distL="0" distR="0">
            <wp:extent cx="2620255" cy="2689411"/>
            <wp:effectExtent l="0" t="0" r="0" b="0"/>
            <wp:docPr id="40" name="Picture" descr="Figure 4: Рис.2.1 Программа в OpenModelica для случая 2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MMPictures06/1.3v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255" cy="268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695200" w:rsidRDefault="00BD3036">
      <w:pPr>
        <w:pStyle w:val="ImageCaption"/>
      </w:pPr>
      <w:r>
        <w:t>Figure 4: Рис.2.1 Программа в OpenModelica для случая 2</w:t>
      </w:r>
      <w:bookmarkStart w:id="12" w:name="_GoBack"/>
      <w:bookmarkEnd w:id="12"/>
    </w:p>
    <w:p w:rsidR="00695200" w:rsidRDefault="00695200">
      <w:pPr>
        <w:pStyle w:val="Compact"/>
        <w:numPr>
          <w:ilvl w:val="0"/>
          <w:numId w:val="11"/>
        </w:numPr>
      </w:pPr>
    </w:p>
    <w:p w:rsidR="00695200" w:rsidRDefault="00BD3036">
      <w:pPr>
        <w:pStyle w:val="Compact"/>
        <w:numPr>
          <w:ilvl w:val="1"/>
          <w:numId w:val="12"/>
        </w:numPr>
      </w:pPr>
      <w:r>
        <w:t xml:space="preserve">Построение графика изменения числа особей в каждой из трех групп для случая 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695200" w:rsidRDefault="00BD3036">
      <w:pPr>
        <w:pStyle w:val="CaptionedFigure"/>
      </w:pPr>
      <w:bookmarkStart w:id="13" w:name="fig:005"/>
      <w:r>
        <w:rPr>
          <w:noProof/>
          <w:lang w:eastAsia="ru-RU"/>
        </w:rPr>
        <w:lastRenderedPageBreak/>
        <w:drawing>
          <wp:inline distT="0" distB="0" distL="0" distR="0">
            <wp:extent cx="5334000" cy="2462388"/>
            <wp:effectExtent l="0" t="0" r="0" b="0"/>
            <wp:docPr id="44" name="Picture" descr="Figure 5: Рис.1.3 График изменения числа особей в трех группах в случа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MMPictures06/1.4v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2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695200" w:rsidRDefault="00BD3036">
      <w:pPr>
        <w:pStyle w:val="ImageCaption"/>
      </w:pPr>
      <w:r>
        <w:t xml:space="preserve">Figure </w:t>
      </w:r>
      <w:r>
        <w:t>5: Рис.1.3 График изменения числа особей в трех группах в случае 2</w:t>
      </w:r>
    </w:p>
    <w:p w:rsidR="00695200" w:rsidRDefault="00BD3036">
      <w:pPr>
        <w:pStyle w:val="a0"/>
      </w:pPr>
      <w:r>
        <w:t>В данном случае число здоровых особей с иммунитетом к болезни (</w:t>
      </w:r>
      <m:oMath>
        <m:r>
          <w:rPr>
            <w:rFonts w:ascii="Cambria Math" w:hAnsi="Cambria Math"/>
          </w:rPr>
          <m:t>R</m:t>
        </m:r>
      </m:oMath>
      <w:r>
        <w:t>) увеличивается. А число восприимчивых к болезни, но пока здоровые особей (</w:t>
      </w:r>
      <m:oMath>
        <m:r>
          <w:rPr>
            <w:rFonts w:ascii="Cambria Math" w:hAnsi="Cambria Math"/>
          </w:rPr>
          <m:t>S</m:t>
        </m:r>
      </m:oMath>
      <w:r>
        <w:t>) стремительно уменьшается. Что и свидетельству</w:t>
      </w:r>
      <w:r>
        <w:t>ет тому, что инфицированные способны заражать восприимчивых к болезни особей.</w:t>
      </w:r>
    </w:p>
    <w:p w:rsidR="00695200" w:rsidRDefault="00BD3036">
      <w:pPr>
        <w:pStyle w:val="1"/>
      </w:pPr>
      <w:bookmarkStart w:id="14" w:name="выводы"/>
      <w:bookmarkStart w:id="15" w:name="_Toc98332397"/>
      <w:bookmarkEnd w:id="6"/>
      <w:r>
        <w:rPr>
          <w:rStyle w:val="SectionNumber"/>
        </w:rPr>
        <w:t>5</w:t>
      </w:r>
      <w:r>
        <w:tab/>
        <w:t>Выводы</w:t>
      </w:r>
      <w:bookmarkEnd w:id="15"/>
    </w:p>
    <w:p w:rsidR="00695200" w:rsidRDefault="00BD3036">
      <w:pPr>
        <w:pStyle w:val="FirstParagraph"/>
      </w:pPr>
      <w:r>
        <w:t>В ходе выполнения данной лабораторной работы была рассмотрена простейшая модель эпидемии и построены соответствующие модели, используя программу OpenModelica. В частности, построились графики изменения числа особей в трех группах людей - заболевших, здоров</w:t>
      </w:r>
      <w:r>
        <w:t xml:space="preserve">ых с иммунитетом к болезни и здоровых, но восприимчивых к болезни. В случае 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и 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:rsidR="00695200" w:rsidRDefault="00BD3036">
      <w:pPr>
        <w:pStyle w:val="1"/>
      </w:pPr>
      <w:bookmarkStart w:id="16" w:name="библиография"/>
      <w:bookmarkStart w:id="17" w:name="_Toc98332398"/>
      <w:bookmarkEnd w:id="14"/>
      <w:r>
        <w:rPr>
          <w:rStyle w:val="SectionNumber"/>
        </w:rPr>
        <w:t>6</w:t>
      </w:r>
      <w:r>
        <w:tab/>
        <w:t>Библиография</w:t>
      </w:r>
      <w:bookmarkEnd w:id="17"/>
    </w:p>
    <w:p w:rsidR="00695200" w:rsidRDefault="00BD3036">
      <w:pPr>
        <w:pStyle w:val="Compact"/>
        <w:numPr>
          <w:ilvl w:val="0"/>
          <w:numId w:val="13"/>
        </w:numPr>
      </w:pPr>
      <w:hyperlink r:id="rId12">
        <w:proofErr w:type="spellStart"/>
        <w:r>
          <w:rPr>
            <w:rStyle w:val="ad"/>
          </w:rPr>
          <w:t>Кулябов</w:t>
        </w:r>
        <w:proofErr w:type="spellEnd"/>
        <w:r>
          <w:rPr>
            <w:rStyle w:val="ad"/>
          </w:rPr>
          <w:t xml:space="preserve"> Д.С. Задания к лабораторной работе № 6 (по вариантам). - 28 c.</w:t>
        </w:r>
      </w:hyperlink>
    </w:p>
    <w:p w:rsidR="00695200" w:rsidRDefault="00BD3036">
      <w:pPr>
        <w:pStyle w:val="Compact"/>
        <w:numPr>
          <w:ilvl w:val="0"/>
          <w:numId w:val="13"/>
        </w:numPr>
      </w:pPr>
      <w:hyperlink r:id="rId13">
        <w:proofErr w:type="spellStart"/>
        <w:r>
          <w:rPr>
            <w:rStyle w:val="ad"/>
          </w:rPr>
          <w:t>Кулябов</w:t>
        </w:r>
        <w:proofErr w:type="spellEnd"/>
        <w:r>
          <w:rPr>
            <w:rStyle w:val="ad"/>
          </w:rPr>
          <w:t xml:space="preserve"> Д.С. Лабораторная работа № 6. - 4 c.</w:t>
        </w:r>
      </w:hyperlink>
      <w:bookmarkEnd w:id="16"/>
    </w:p>
    <w:sectPr w:rsidR="0069520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036" w:rsidRDefault="00BD3036">
      <w:pPr>
        <w:spacing w:after="0"/>
      </w:pPr>
      <w:r>
        <w:separator/>
      </w:r>
    </w:p>
  </w:endnote>
  <w:endnote w:type="continuationSeparator" w:id="0">
    <w:p w:rsidR="00BD3036" w:rsidRDefault="00BD30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036" w:rsidRDefault="00BD3036">
      <w:r>
        <w:separator/>
      </w:r>
    </w:p>
  </w:footnote>
  <w:footnote w:type="continuationSeparator" w:id="0">
    <w:p w:rsidR="00BD3036" w:rsidRDefault="00BD3036">
      <w:r>
        <w:continuationSeparator/>
      </w:r>
    </w:p>
  </w:footnote>
  <w:footnote w:id="1">
    <w:p w:rsidR="00695200" w:rsidRDefault="00BD3036">
      <w:pPr>
        <w:pStyle w:val="a9"/>
      </w:pPr>
      <w:r>
        <w:rPr>
          <w:rStyle w:val="ac"/>
        </w:rPr>
        <w:footnoteRef/>
      </w:r>
      <w:r>
        <w:t xml:space="preserve"> </w:t>
      </w:r>
      <w:hyperlink r:id="rId1">
        <w:proofErr w:type="spellStart"/>
        <w:r>
          <w:rPr>
            <w:rStyle w:val="ad"/>
          </w:rPr>
          <w:t>Кулябов</w:t>
        </w:r>
        <w:proofErr w:type="spellEnd"/>
        <w:r>
          <w:rPr>
            <w:rStyle w:val="ad"/>
          </w:rPr>
          <w:t xml:space="preserve"> Д.С. Задания к лабораторной работе № 6 (по вариантам). - 28 c.</w:t>
        </w:r>
      </w:hyperlink>
    </w:p>
  </w:footnote>
  <w:footnote w:id="2">
    <w:p w:rsidR="00695200" w:rsidRDefault="00BD3036">
      <w:pPr>
        <w:pStyle w:val="a9"/>
      </w:pPr>
      <w:r>
        <w:rPr>
          <w:rStyle w:val="ac"/>
        </w:rPr>
        <w:footnoteRef/>
      </w:r>
      <w:r>
        <w:t xml:space="preserve"> </w:t>
      </w:r>
      <w:hyperlink r:id="rId2">
        <w:proofErr w:type="spellStart"/>
        <w:r>
          <w:rPr>
            <w:rStyle w:val="ad"/>
          </w:rPr>
          <w:t>Кулябов</w:t>
        </w:r>
        <w:proofErr w:type="spellEnd"/>
        <w:r>
          <w:rPr>
            <w:rStyle w:val="ad"/>
          </w:rPr>
          <w:t xml:space="preserve"> Д.С. Лаборатор</w:t>
        </w:r>
        <w:r>
          <w:rPr>
            <w:rStyle w:val="ad"/>
          </w:rPr>
          <w:t>ная работа № 6. - 4 c.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AF746A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48CD1A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978CFF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AACCDB7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21"/>
    <w:multiLevelType w:val="multilevel"/>
    <w:tmpl w:val="B762BABC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5200"/>
    <w:rsid w:val="00695200"/>
    <w:rsid w:val="008618F0"/>
    <w:rsid w:val="00BD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B099EE-6352-4945-B576-3A6610D6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618F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system.rudn.ru/mod/resource/view.php?id=83112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system.rudn.ru/mod/resource/view.php?id=831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system.rudn.ru/mod/resource/view.php?id=831124" TargetMode="External"/><Relationship Id="rId1" Type="http://schemas.openxmlformats.org/officeDocument/2006/relationships/hyperlink" Target="https://esystem.rudn.ru/mod/resource/view.php?id=831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821</Words>
  <Characters>4681</Characters>
  <Application>Microsoft Office Word</Application>
  <DocSecurity>0</DocSecurity>
  <Lines>39</Lines>
  <Paragraphs>10</Paragraphs>
  <ScaleCrop>false</ScaleCrop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Бронникова де Менезеш Эвелина</dc:creator>
  <cp:keywords/>
  <cp:lastModifiedBy>Лина</cp:lastModifiedBy>
  <cp:revision>2</cp:revision>
  <dcterms:created xsi:type="dcterms:W3CDTF">2022-03-15T08:27:00Z</dcterms:created>
  <dcterms:modified xsi:type="dcterms:W3CDTF">2022-03-16T11:13:00Z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Listing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Title">
    <vt:lpwstr>List of Figures</vt:lpwstr>
  </property>
  <property fmtid="{D5CDD505-2E9C-101B-9397-08002B2CF9AE}" pid="42" name="lolTitle">
    <vt:lpwstr>List of Listings</vt:lpwstr>
  </property>
  <property fmtid="{D5CDD505-2E9C-101B-9397-08002B2CF9AE}" pid="43" name="lot">
    <vt:lpwstr>True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Вариант 5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