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Бронникова</w:t>
      </w:r>
      <w:r>
        <w:t xml:space="preserve"> </w:t>
      </w:r>
      <w:r>
        <w:t xml:space="preserve">де</w:t>
      </w:r>
      <w:r>
        <w:t xml:space="preserve"> </w:t>
      </w:r>
      <w:r>
        <w:t xml:space="preserve">Менезеш</w:t>
      </w:r>
      <w:r>
        <w:t xml:space="preserve"> </w:t>
      </w:r>
      <w:r>
        <w:t xml:space="preserve">Эвелина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 конкуренции двух фирм, используя программу OpenModelica.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</w:t>
      </w:r>
      <w:r>
        <w:t xml:space="preserve">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</w:t>
      </w:r>
      <w:r>
        <w:t xml:space="preserve">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0014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2.2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,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,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rPr>
          <w:bCs/>
          <w:b/>
          <w:iCs/>
          <w:i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bCs/>
          <w:b/>
          <w:iCs/>
          <w:i/>
        </w:rPr>
        <w:t xml:space="preserve">Обозначения: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  <w:r>
        <w:rPr>
          <w:rStyle w:val="FootnoteReference"/>
        </w:rPr>
        <w:footnoteReference w:id="21"/>
      </w:r>
    </w:p>
    <w:bookmarkEnd w:id="23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модель-конкуренции-двух-фир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Модель конкуренции двух фирм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  <w:r>
        <w:t xml:space="preserve"> </w:t>
      </w: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  <w:r>
        <w:t xml:space="preserve"> </w:t>
      </w: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= 0 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  <w:r>
        <w:t xml:space="preserve"> </w:t>
      </w: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  <w:r>
        <w:t xml:space="preserve"> </w:t>
      </w: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m:t>)</m:t>
                      </m:r>
                      <m:r>
                        <m:t>N</m:t>
                      </m:r>
                      <m:r>
                        <m:t>q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M</m:t>
            </m:r>
            <m:r>
              <m:rPr>
                <m:sty m:val="p"/>
              </m:rPr>
              <m:t>/</m:t>
            </m:r>
            <m:r>
              <m:t>d</m:t>
            </m:r>
            <m:r>
              <m:t>t</m:t>
            </m:r>
            <m:r>
              <m:rPr>
                <m:sty m:val="p"/>
              </m:rPr>
              <m:t>&lt;</m:t>
            </m:r>
            <m:r>
              <m:t>0</m:t>
            </m:r>
          </m:e>
        </m:d>
      </m:oMath>
      <w:r>
        <w:t xml:space="preserve">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  <w:r>
        <w:t xml:space="preserve"> </w:t>
      </w: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rPr>
          <w:bCs/>
          <w:b/>
        </w:rPr>
        <w:t xml:space="preserve">Конкуренция двух фирм</w:t>
      </w:r>
    </w:p>
    <w:p>
      <w:pPr>
        <w:pStyle w:val="BodyText"/>
      </w:pPr>
      <w:r>
        <w:rPr>
          <w:bCs/>
          <w:b/>
          <w:iCs/>
          <w:i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  <w:r>
        <w:t xml:space="preserve"> </w:t>
      </w: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r>
          <m:t>p</m:t>
        </m:r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r>
          <m:t>p</m:t>
        </m:r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  <w:r>
        <w:t xml:space="preserve"> </w:t>
      </w: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Тогда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– себестоимости товаров в первой и второй фирме.</w:t>
      </w:r>
      <w:r>
        <w:t xml:space="preserve"> </w:t>
      </w:r>
      <w:r>
        <w:t xml:space="preserve">С учетом (10) представим (11) в виде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den>
            </m:f>
          </m:e>
        </m:d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den>
            </m:f>
          </m:e>
        </m:d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b</m:t>
        </m:r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1</m:t>
            </m:r>
          </m:sub>
        </m:sSub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b</m:t>
        </m:r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2</m:t>
            </m:r>
          </m:sub>
        </m:sSub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acc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Чтобы решить систему (17) необходимо знать начальные условия.</w:t>
      </w:r>
    </w:p>
    <w:p>
      <w:pPr>
        <w:pStyle w:val="BodyText"/>
      </w:pPr>
      <w:r>
        <w:rPr>
          <w:bCs/>
          <w:b/>
          <w:iCs/>
          <w:i/>
        </w:rPr>
        <w:t xml:space="preserve">Замечание</w:t>
      </w:r>
      <w:r>
        <w:t xml:space="preserve">: Необходимо учесть, что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 (например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- означает 10 000 потенциальных потребителей),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bCs/>
          <w:b/>
          <w:iCs/>
          <w:i/>
        </w:rPr>
        <w:t xml:space="preserve">Случай 2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х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rPr>
          <w:bCs/>
          <w:b/>
          <w:iCs/>
          <w:i/>
        </w:rPr>
        <w:t xml:space="preserve">Замечание:</w:t>
      </w:r>
      <w:r>
        <w:t xml:space="preserve"> </w:t>
      </w:r>
      <w:r>
        <w:t xml:space="preserve">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  <w:r>
        <w:rPr>
          <w:rStyle w:val="FootnoteReference"/>
        </w:rPr>
        <w:footnoteReference w:id="24"/>
      </w:r>
    </w:p>
    <w:bookmarkEnd w:id="26"/>
    <w:bookmarkEnd w:id="27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программы с необходимыми условиями в OpenModelica</w:t>
      </w:r>
    </w:p>
    <w:p>
      <w:pPr>
        <w:pStyle w:val="CaptionedFigure"/>
      </w:pPr>
      <w:bookmarkStart w:id="31" w:name="fig:001"/>
      <w:r>
        <w:drawing>
          <wp:inline>
            <wp:extent cx="5334000" cy="2226753"/>
            <wp:effectExtent b="0" l="0" r="0" t="0"/>
            <wp:docPr descr="Figure 1: Программа в OpenModelica (параметры)" title="" id="29" name="Picture"/>
            <a:graphic>
              <a:graphicData uri="http://schemas.openxmlformats.org/drawingml/2006/picture">
                <pic:pic>
                  <pic:nvPicPr>
                    <pic:cNvPr descr="MMPictures08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Программа в OpenModelica (параметры)</w:t>
      </w:r>
    </w:p>
    <w:p>
      <w:pPr>
        <w:pStyle w:val="CaptionedFigure"/>
      </w:pPr>
      <w:bookmarkStart w:id="35" w:name="fig:002"/>
      <w:r>
        <w:drawing>
          <wp:inline>
            <wp:extent cx="4487475" cy="1129552"/>
            <wp:effectExtent b="0" l="0" r="0" t="0"/>
            <wp:docPr descr="Figure 2: Программа в OpenModelica (система уравнений)" title="" id="33" name="Picture"/>
            <a:graphic>
              <a:graphicData uri="http://schemas.openxmlformats.org/drawingml/2006/picture">
                <pic:pic>
                  <pic:nvPicPr>
                    <pic:cNvPr descr="MMPictures08/1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Программа в OpenModelica (система уравнений)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Построение графика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aptionedFigure"/>
      </w:pPr>
      <w:bookmarkStart w:id="39" w:name="fig:003"/>
      <w:r>
        <w:drawing>
          <wp:inline>
            <wp:extent cx="5334000" cy="2462388"/>
            <wp:effectExtent b="0" l="0" r="0" t="0"/>
            <wp:docPr descr="Figure 3: График изменения оборотных средств фирмы 1 и фирмы 2 без учета постоянных издержек и с веденной нормировкой для случая 1" title="" id="37" name="Picture"/>
            <a:graphic>
              <a:graphicData uri="http://schemas.openxmlformats.org/drawingml/2006/picture">
                <pic:pic>
                  <pic:nvPicPr>
                    <pic:cNvPr descr="MMPictures08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изменения оборотных средств фирмы 1 и фирмы 2 без учета постоянных издержек и с веденной нормировкой для случая 1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 В данном случае наибольший объем продаж у фирмы 2.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Построение графика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CaptionedFigure"/>
      </w:pPr>
      <w:bookmarkStart w:id="43" w:name="fig:004"/>
      <w:r>
        <w:drawing>
          <wp:inline>
            <wp:extent cx="5334000" cy="2445043"/>
            <wp:effectExtent b="0" l="0" r="0" t="0"/>
            <wp:docPr descr="Figure 4: График изменения оборотных средств фирмы 1 и фирмы 2 без учета постоянных издержек и с веденной нормировкой для случая 2." title="" id="41" name="Picture"/>
            <a:graphic>
              <a:graphicData uri="http://schemas.openxmlformats.org/drawingml/2006/picture">
                <pic:pic>
                  <pic:nvPicPr>
                    <pic:cNvPr descr="MMPictures08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4: График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BodyText"/>
      </w:pPr>
      <w:r>
        <w:t xml:space="preserve">По графику видно, что также, как и в первом случае фирма 2 достигает свое максимальное значение объема продаж и остается на рынке с этим значением. Однако первая фирма, несмотря на начальный рост, достигнув своего максимального объема продаж, который является меньшим значением по сравнению с первым графиком, начинает нести убытки и, в итоге, терпит банкротство.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построена модель конкуренции двух фирм, используя программу OpenModelica.</w:t>
      </w:r>
      <w:r>
        <w:t xml:space="preserve"> </w:t>
      </w:r>
      <w:r>
        <w:t xml:space="preserve">В частности, построились графики изменения оборотных средств фирмы 1 и фирмы 2 без учета постоянных издержек и с веденной нормировкой для случая 1 и 2.</w:t>
      </w:r>
    </w:p>
    <w:bookmarkEnd w:id="45"/>
    <w:bookmarkStart w:id="4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hyperlink r:id="rId22">
        <w:r>
          <w:rPr>
            <w:rStyle w:val="Hyperlink"/>
          </w:rPr>
          <w:t xml:space="preserve">Кулябов Д.С. Задания к лабораторной работе № 8 (по вариантам). - 106 c.</w:t>
        </w:r>
      </w:hyperlink>
    </w:p>
    <w:p>
      <w:pPr>
        <w:numPr>
          <w:ilvl w:val="0"/>
          <w:numId w:val="1007"/>
        </w:numPr>
        <w:pStyle w:val="Compact"/>
      </w:pPr>
      <w:hyperlink r:id="rId25">
        <w:r>
          <w:rPr>
            <w:rStyle w:val="Hyperlink"/>
          </w:rPr>
          <w:t xml:space="preserve">Кулябов Д.С. Лабораторная работа № 8. - 7 c.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Кулябов Д.С. Задания к лабораторной работе № 8 (по вариантам). - 106 c.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Кулябов Д.С. Лабораторная работа № 8. - 7 c.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5" Target="https://esystem.rudn.ru/mod/resource/view.php?id=831131" TargetMode="External" /><Relationship Type="http://schemas.openxmlformats.org/officeDocument/2006/relationships/hyperlink" Id="rId22" Target="https://esystem.rudn.ru/mod/resource/view.php?id=8311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mod/resource/view.php?id=831131" TargetMode="External" /><Relationship Type="http://schemas.openxmlformats.org/officeDocument/2006/relationships/hyperlink" Id="rId22" Target="https://esystem.rudn.ru/mod/resource/view.php?id=8311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Бронникова де Менезеш Эвелина</dc:creator>
  <dc:language>ru-RU</dc:language>
  <cp:keywords/>
  <dcterms:created xsi:type="dcterms:W3CDTF">2022-03-25T15:18:30Z</dcterms:created>
  <dcterms:modified xsi:type="dcterms:W3CDTF">2022-03-25T15:18:30Z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