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507A7" w14:textId="77777777" w:rsidR="00EC0E87" w:rsidRPr="00B65056" w:rsidRDefault="00EC0E87" w:rsidP="00EC0E87">
      <w:pPr>
        <w:jc w:val="center"/>
        <w:rPr>
          <w:rFonts w:ascii="Times New Roman" w:hAnsi="Times New Roman" w:cs="Times New Roman"/>
          <w:b/>
          <w:bCs/>
          <w:sz w:val="24"/>
          <w:szCs w:val="24"/>
        </w:rPr>
      </w:pPr>
    </w:p>
    <w:p w14:paraId="0BB34F90" w14:textId="77777777" w:rsidR="00EC0E87" w:rsidRPr="00B65056" w:rsidRDefault="00EC0E87" w:rsidP="00EC0E87">
      <w:pPr>
        <w:jc w:val="center"/>
        <w:rPr>
          <w:rFonts w:ascii="Times New Roman" w:hAnsi="Times New Roman" w:cs="Times New Roman"/>
          <w:b/>
          <w:bCs/>
          <w:sz w:val="24"/>
          <w:szCs w:val="24"/>
        </w:rPr>
      </w:pPr>
    </w:p>
    <w:p w14:paraId="78FFFC22" w14:textId="77777777" w:rsidR="00EC0E87" w:rsidRPr="00B65056" w:rsidRDefault="00EC0E87" w:rsidP="00EC0E87">
      <w:pPr>
        <w:jc w:val="center"/>
        <w:rPr>
          <w:rFonts w:ascii="Times New Roman" w:hAnsi="Times New Roman" w:cs="Times New Roman"/>
          <w:b/>
          <w:bCs/>
          <w:sz w:val="24"/>
          <w:szCs w:val="24"/>
        </w:rPr>
      </w:pPr>
    </w:p>
    <w:p w14:paraId="0F78A6BB" w14:textId="77777777" w:rsidR="00EC0E87" w:rsidRPr="00B65056" w:rsidRDefault="00EC0E87" w:rsidP="00EC0E87">
      <w:pPr>
        <w:jc w:val="center"/>
        <w:rPr>
          <w:rFonts w:ascii="Times New Roman" w:hAnsi="Times New Roman" w:cs="Times New Roman"/>
          <w:b/>
          <w:bCs/>
          <w:sz w:val="24"/>
          <w:szCs w:val="24"/>
        </w:rPr>
      </w:pPr>
    </w:p>
    <w:p w14:paraId="22A10982" w14:textId="77777777" w:rsidR="00EC0E87" w:rsidRPr="00B65056" w:rsidRDefault="00EC0E87" w:rsidP="00EC0E87">
      <w:pPr>
        <w:jc w:val="center"/>
        <w:rPr>
          <w:rFonts w:ascii="Times New Roman" w:hAnsi="Times New Roman" w:cs="Times New Roman"/>
          <w:b/>
          <w:bCs/>
          <w:sz w:val="24"/>
          <w:szCs w:val="24"/>
        </w:rPr>
      </w:pPr>
    </w:p>
    <w:p w14:paraId="16F69533" w14:textId="77777777" w:rsidR="00EC0E87" w:rsidRPr="00B65056" w:rsidRDefault="00EC0E87" w:rsidP="00EC0E87">
      <w:pPr>
        <w:jc w:val="center"/>
        <w:rPr>
          <w:rFonts w:ascii="Times New Roman" w:hAnsi="Times New Roman" w:cs="Times New Roman"/>
          <w:b/>
          <w:bCs/>
          <w:sz w:val="24"/>
          <w:szCs w:val="24"/>
        </w:rPr>
      </w:pPr>
    </w:p>
    <w:p w14:paraId="0CC67842" w14:textId="77777777" w:rsidR="00EC0E87" w:rsidRPr="00B65056" w:rsidRDefault="00EC0E87" w:rsidP="00EC0E87">
      <w:pPr>
        <w:jc w:val="center"/>
        <w:rPr>
          <w:rFonts w:ascii="Times New Roman" w:hAnsi="Times New Roman" w:cs="Times New Roman"/>
          <w:b/>
          <w:bCs/>
          <w:sz w:val="24"/>
          <w:szCs w:val="24"/>
        </w:rPr>
      </w:pPr>
    </w:p>
    <w:p w14:paraId="35002E54" w14:textId="32E07CFE" w:rsidR="005E1ECD" w:rsidRPr="00B65056" w:rsidRDefault="00F021E1" w:rsidP="00495B01">
      <w:pPr>
        <w:pStyle w:val="Title"/>
      </w:pPr>
      <w:r w:rsidRPr="00B65056">
        <w:t xml:space="preserve">Technical Note: </w:t>
      </w:r>
      <w:r w:rsidR="00EC0E87" w:rsidRPr="00B65056">
        <w:t>P</w:t>
      </w:r>
      <w:r w:rsidRPr="00B65056">
        <w:t>overty Methodology for Saint Lucia 2016 Survey of Living Conditions and Household Budget</w:t>
      </w:r>
    </w:p>
    <w:p w14:paraId="62FE28C0" w14:textId="77777777" w:rsidR="00EC0E87" w:rsidRPr="00B65056" w:rsidRDefault="00EC0E87" w:rsidP="00EC0E87">
      <w:pPr>
        <w:jc w:val="center"/>
        <w:rPr>
          <w:rFonts w:ascii="Times New Roman" w:hAnsi="Times New Roman" w:cs="Times New Roman"/>
          <w:b/>
          <w:bCs/>
          <w:sz w:val="24"/>
          <w:szCs w:val="24"/>
        </w:rPr>
      </w:pPr>
    </w:p>
    <w:p w14:paraId="4B6E3E97" w14:textId="77777777" w:rsidR="00EC0E87" w:rsidRPr="00B65056" w:rsidRDefault="00EC0E87" w:rsidP="00EC0E87">
      <w:pPr>
        <w:jc w:val="center"/>
        <w:rPr>
          <w:rFonts w:ascii="Times New Roman" w:hAnsi="Times New Roman" w:cs="Times New Roman"/>
          <w:b/>
          <w:bCs/>
          <w:sz w:val="24"/>
          <w:szCs w:val="24"/>
        </w:rPr>
      </w:pPr>
    </w:p>
    <w:p w14:paraId="5F6415D3" w14:textId="77777777" w:rsidR="00EC0E87" w:rsidRPr="00B65056" w:rsidRDefault="00EC0E87" w:rsidP="00EC0E87">
      <w:pPr>
        <w:jc w:val="center"/>
        <w:rPr>
          <w:rFonts w:ascii="Times New Roman" w:hAnsi="Times New Roman" w:cs="Times New Roman"/>
          <w:b/>
          <w:bCs/>
          <w:sz w:val="24"/>
          <w:szCs w:val="24"/>
        </w:rPr>
      </w:pPr>
    </w:p>
    <w:p w14:paraId="1DA619DE" w14:textId="77777777" w:rsidR="00EC0E87" w:rsidRPr="00B65056" w:rsidRDefault="00EC0E87" w:rsidP="00EC0E87">
      <w:pPr>
        <w:jc w:val="center"/>
        <w:rPr>
          <w:rFonts w:ascii="Times New Roman" w:hAnsi="Times New Roman" w:cs="Times New Roman"/>
          <w:b/>
          <w:bCs/>
          <w:sz w:val="24"/>
          <w:szCs w:val="24"/>
        </w:rPr>
      </w:pPr>
    </w:p>
    <w:p w14:paraId="083B27CD" w14:textId="77777777" w:rsidR="00EC0E87" w:rsidRPr="00B65056" w:rsidRDefault="00EC0E87" w:rsidP="00EC0E87">
      <w:pPr>
        <w:jc w:val="center"/>
        <w:rPr>
          <w:rFonts w:ascii="Times New Roman" w:hAnsi="Times New Roman" w:cs="Times New Roman"/>
          <w:b/>
          <w:bCs/>
          <w:sz w:val="24"/>
          <w:szCs w:val="24"/>
        </w:rPr>
      </w:pPr>
    </w:p>
    <w:p w14:paraId="6072A841" w14:textId="3506CAC0" w:rsidR="00EC0E87" w:rsidRDefault="00EC0E87" w:rsidP="00EC0E87">
      <w:pPr>
        <w:jc w:val="center"/>
        <w:rPr>
          <w:rFonts w:ascii="Times New Roman" w:hAnsi="Times New Roman" w:cs="Times New Roman"/>
          <w:b/>
          <w:bCs/>
          <w:sz w:val="24"/>
          <w:szCs w:val="24"/>
        </w:rPr>
      </w:pPr>
    </w:p>
    <w:p w14:paraId="609CF287" w14:textId="77777777" w:rsidR="00495B01" w:rsidRPr="00B65056" w:rsidRDefault="00495B01" w:rsidP="00EC0E87">
      <w:pPr>
        <w:jc w:val="center"/>
        <w:rPr>
          <w:rFonts w:ascii="Times New Roman" w:hAnsi="Times New Roman" w:cs="Times New Roman"/>
          <w:b/>
          <w:bCs/>
          <w:sz w:val="24"/>
          <w:szCs w:val="24"/>
        </w:rPr>
      </w:pPr>
    </w:p>
    <w:p w14:paraId="29ADBC14" w14:textId="1E84F6F7" w:rsidR="00EC0E87" w:rsidRPr="00B65056" w:rsidRDefault="00F021E1" w:rsidP="00EC0E87">
      <w:pPr>
        <w:jc w:val="center"/>
        <w:rPr>
          <w:rFonts w:ascii="Times New Roman" w:hAnsi="Times New Roman" w:cs="Times New Roman"/>
          <w:sz w:val="24"/>
          <w:szCs w:val="24"/>
        </w:rPr>
      </w:pPr>
      <w:r w:rsidRPr="00B65056">
        <w:rPr>
          <w:rFonts w:ascii="Times New Roman" w:hAnsi="Times New Roman" w:cs="Times New Roman"/>
          <w:sz w:val="24"/>
          <w:szCs w:val="24"/>
        </w:rPr>
        <w:t xml:space="preserve">Prepared by </w:t>
      </w:r>
      <w:r w:rsidR="00EC0E87" w:rsidRPr="00B65056">
        <w:rPr>
          <w:rFonts w:ascii="Times New Roman" w:hAnsi="Times New Roman" w:cs="Times New Roman"/>
          <w:sz w:val="24"/>
          <w:szCs w:val="24"/>
        </w:rPr>
        <w:t>Tanida Arayavechkit and Natalia Garcia Pena Bersh</w:t>
      </w:r>
    </w:p>
    <w:p w14:paraId="18B139F4" w14:textId="746BEB5A" w:rsidR="00943D1A" w:rsidRPr="00495B01" w:rsidRDefault="00943D1A" w:rsidP="00F021E1">
      <w:pPr>
        <w:jc w:val="center"/>
      </w:pPr>
      <w:r w:rsidRPr="00495B01">
        <w:rPr>
          <w:rFonts w:ascii="Times New Roman" w:hAnsi="Times New Roman" w:cs="Times New Roman"/>
          <w:sz w:val="24"/>
          <w:szCs w:val="24"/>
          <w:shd w:val="clear" w:color="auto" w:fill="FFFFFF"/>
        </w:rPr>
        <w:t>The</w:t>
      </w:r>
      <w:r w:rsidRPr="00495B01">
        <w:rPr>
          <w:rFonts w:ascii="Times New Roman" w:hAnsi="Times New Roman" w:cs="Times New Roman"/>
          <w:b/>
          <w:bCs/>
          <w:sz w:val="24"/>
          <w:szCs w:val="24"/>
          <w:shd w:val="clear" w:color="auto" w:fill="FFFFFF"/>
        </w:rPr>
        <w:t> </w:t>
      </w:r>
      <w:r w:rsidRPr="00495B01">
        <w:t>Central Statistical Office</w:t>
      </w:r>
      <w:r w:rsidR="00495B01" w:rsidRPr="00495B01">
        <w:t xml:space="preserve"> </w:t>
      </w:r>
      <w:r w:rsidRPr="00495B01">
        <w:t>(CSO) of Saint Lucia</w:t>
      </w:r>
    </w:p>
    <w:p w14:paraId="01E7A9DE" w14:textId="6187255D" w:rsidR="00F021E1" w:rsidRPr="00B65056" w:rsidRDefault="00EC0E87" w:rsidP="00F021E1">
      <w:pPr>
        <w:jc w:val="center"/>
        <w:rPr>
          <w:rFonts w:ascii="Times New Roman" w:hAnsi="Times New Roman" w:cs="Times New Roman"/>
          <w:sz w:val="24"/>
          <w:szCs w:val="24"/>
        </w:rPr>
      </w:pPr>
      <w:r w:rsidRPr="00B65056">
        <w:rPr>
          <w:rFonts w:ascii="Times New Roman" w:hAnsi="Times New Roman" w:cs="Times New Roman"/>
          <w:sz w:val="24"/>
          <w:szCs w:val="24"/>
        </w:rPr>
        <w:t>World Bank- Poverty and Equity Global Practice</w:t>
      </w:r>
    </w:p>
    <w:p w14:paraId="067D6530" w14:textId="4D7E02C9" w:rsidR="00EC0E87" w:rsidRPr="00B65056" w:rsidRDefault="00EC0E87" w:rsidP="00EC0E87">
      <w:pPr>
        <w:jc w:val="center"/>
        <w:rPr>
          <w:rFonts w:ascii="Times New Roman" w:hAnsi="Times New Roman" w:cs="Times New Roman"/>
          <w:sz w:val="24"/>
          <w:szCs w:val="24"/>
        </w:rPr>
      </w:pPr>
      <w:r w:rsidRPr="00B65056">
        <w:rPr>
          <w:rFonts w:ascii="Times New Roman" w:hAnsi="Times New Roman" w:cs="Times New Roman"/>
          <w:sz w:val="24"/>
          <w:szCs w:val="24"/>
        </w:rPr>
        <w:t>December, 2017</w:t>
      </w:r>
    </w:p>
    <w:p w14:paraId="19368EB4" w14:textId="77777777" w:rsidR="00F021E1" w:rsidRPr="00B65056" w:rsidRDefault="00F021E1" w:rsidP="00F021E1">
      <w:pPr>
        <w:shd w:val="clear" w:color="auto" w:fill="FFFFFF"/>
        <w:jc w:val="center"/>
        <w:rPr>
          <w:rFonts w:ascii="Times New Roman" w:hAnsi="Times New Roman" w:cs="Times New Roman"/>
          <w:sz w:val="24"/>
          <w:szCs w:val="24"/>
        </w:rPr>
      </w:pPr>
    </w:p>
    <w:p w14:paraId="729F5CFF" w14:textId="4352A56C" w:rsidR="00495B01" w:rsidRPr="00495B01" w:rsidRDefault="00F021E1" w:rsidP="00495B01">
      <w:pPr>
        <w:spacing w:line="276" w:lineRule="auto"/>
        <w:jc w:val="both"/>
        <w:rPr>
          <w:rFonts w:ascii="Times New Roman" w:hAnsi="Times New Roman" w:cs="Times New Roman"/>
          <w:b/>
          <w:bCs/>
          <w:iCs/>
          <w:sz w:val="24"/>
          <w:szCs w:val="24"/>
        </w:rPr>
      </w:pPr>
      <w:r w:rsidRPr="00B65056">
        <w:rPr>
          <w:rFonts w:ascii="Times New Roman" w:hAnsi="Times New Roman" w:cs="Times New Roman"/>
          <w:sz w:val="24"/>
          <w:szCs w:val="24"/>
        </w:rPr>
        <w:t>Based on “Documentation of the Construction of the Consumption Aggregate and the Derivative of Poverty Indicators for Saint Lucia for 2006/05 Survey of Living Conditions and Household Budgets”</w:t>
      </w:r>
      <w:r w:rsidR="00A55835" w:rsidRPr="00B65056">
        <w:rPr>
          <w:rFonts w:ascii="Times New Roman" w:hAnsi="Times New Roman" w:cs="Times New Roman"/>
          <w:sz w:val="24"/>
          <w:szCs w:val="24"/>
        </w:rPr>
        <w:t xml:space="preserve"> </w:t>
      </w:r>
      <w:r w:rsidR="00A55835" w:rsidRPr="00B65056">
        <w:rPr>
          <w:rFonts w:ascii="Times New Roman" w:eastAsia="Calibri" w:hAnsi="Times New Roman" w:cs="Times New Roman"/>
          <w:sz w:val="24"/>
          <w:szCs w:val="24"/>
        </w:rPr>
        <w:t>p</w:t>
      </w:r>
      <w:r w:rsidRPr="00B65056">
        <w:rPr>
          <w:rFonts w:ascii="Times New Roman" w:eastAsia="Calibri" w:hAnsi="Times New Roman" w:cs="Times New Roman"/>
          <w:sz w:val="24"/>
          <w:szCs w:val="24"/>
        </w:rPr>
        <w:t>repared by Edwin St Catherine, November 2014</w:t>
      </w:r>
      <w:r w:rsidR="00A55835" w:rsidRPr="00B65056">
        <w:rPr>
          <w:rFonts w:ascii="Times New Roman" w:eastAsia="Calibri" w:hAnsi="Times New Roman" w:cs="Times New Roman"/>
          <w:sz w:val="24"/>
          <w:szCs w:val="24"/>
        </w:rPr>
        <w:t xml:space="preserve"> and “Poverty Methodology Proposal for the Organisation of the Eastern Caribbean States prepared by </w:t>
      </w:r>
      <w:r w:rsidR="00A55835" w:rsidRPr="00495B01">
        <w:t>R. Andrés Castañeda and Lea Giménez, March 2015</w:t>
      </w:r>
    </w:p>
    <w:p w14:paraId="5D788AA6" w14:textId="77777777" w:rsidR="00495B01" w:rsidRPr="00B65056" w:rsidRDefault="00495B01" w:rsidP="00943D1A">
      <w:pPr>
        <w:rPr>
          <w:rFonts w:ascii="Times New Roman" w:hAnsi="Times New Roman" w:cs="Times New Roman"/>
          <w:sz w:val="24"/>
          <w:szCs w:val="24"/>
        </w:rPr>
      </w:pPr>
    </w:p>
    <w:sdt>
      <w:sdtPr>
        <w:rPr>
          <w:rFonts w:asciiTheme="minorHAnsi" w:eastAsiaTheme="minorEastAsia" w:hAnsiTheme="minorHAnsi" w:cstheme="minorBidi"/>
          <w:b w:val="0"/>
          <w:bCs w:val="0"/>
          <w:smallCaps w:val="0"/>
          <w:color w:val="auto"/>
          <w:sz w:val="22"/>
          <w:szCs w:val="22"/>
        </w:rPr>
        <w:id w:val="99770728"/>
        <w:docPartObj>
          <w:docPartGallery w:val="Table of Contents"/>
          <w:docPartUnique/>
        </w:docPartObj>
      </w:sdtPr>
      <w:sdtEndPr>
        <w:rPr>
          <w:rFonts w:ascii="Times New Roman" w:hAnsi="Times New Roman" w:cs="Times New Roman"/>
          <w:noProof/>
          <w:sz w:val="24"/>
          <w:szCs w:val="24"/>
        </w:rPr>
      </w:sdtEndPr>
      <w:sdtContent>
        <w:p w14:paraId="6EE7E56D" w14:textId="15AF5915" w:rsidR="00836853" w:rsidRPr="00B65056" w:rsidRDefault="00836853" w:rsidP="003B40C9">
          <w:pPr>
            <w:pStyle w:val="Heading1"/>
          </w:pPr>
          <w:r w:rsidRPr="00B65056">
            <w:t>Table of Contents</w:t>
          </w:r>
        </w:p>
        <w:p w14:paraId="21DFEB3C" w14:textId="061A043E" w:rsidR="00B65056" w:rsidRPr="00B65056" w:rsidRDefault="00836853">
          <w:pPr>
            <w:pStyle w:val="TOC1"/>
            <w:tabs>
              <w:tab w:val="left" w:pos="1100"/>
              <w:tab w:val="right" w:leader="dot" w:pos="9350"/>
            </w:tabs>
            <w:rPr>
              <w:rFonts w:ascii="Times New Roman" w:hAnsi="Times New Roman"/>
              <w:noProof/>
              <w:sz w:val="22"/>
              <w:szCs w:val="28"/>
              <w:lang w:bidi="th-TH"/>
            </w:rPr>
          </w:pPr>
          <w:r w:rsidRPr="00B65056">
            <w:rPr>
              <w:rFonts w:ascii="Times New Roman" w:hAnsi="Times New Roman"/>
            </w:rPr>
            <w:fldChar w:fldCharType="begin"/>
          </w:r>
          <w:r w:rsidRPr="00B65056">
            <w:rPr>
              <w:rFonts w:ascii="Times New Roman" w:hAnsi="Times New Roman"/>
            </w:rPr>
            <w:instrText xml:space="preserve"> TOC \o "1-3" \h \z \u </w:instrText>
          </w:r>
          <w:r w:rsidRPr="00B65056">
            <w:rPr>
              <w:rFonts w:ascii="Times New Roman" w:hAnsi="Times New Roman"/>
            </w:rPr>
            <w:fldChar w:fldCharType="separate"/>
          </w:r>
          <w:hyperlink w:anchor="_Toc501363537" w:history="1">
            <w:r w:rsidR="00B65056" w:rsidRPr="00B65056">
              <w:rPr>
                <w:rStyle w:val="Hyperlink"/>
                <w:rFonts w:ascii="Times New Roman" w:hAnsi="Times New Roman"/>
                <w:noProof/>
              </w:rPr>
              <w:t>2</w:t>
            </w:r>
            <w:r w:rsidR="00B65056" w:rsidRPr="00B65056">
              <w:rPr>
                <w:rFonts w:ascii="Times New Roman" w:hAnsi="Times New Roman"/>
                <w:noProof/>
                <w:sz w:val="22"/>
                <w:szCs w:val="28"/>
                <w:lang w:bidi="th-TH"/>
              </w:rPr>
              <w:tab/>
            </w:r>
            <w:r w:rsidR="00B65056" w:rsidRPr="00B65056">
              <w:rPr>
                <w:rStyle w:val="Hyperlink"/>
                <w:rFonts w:ascii="Times New Roman" w:hAnsi="Times New Roman"/>
                <w:noProof/>
              </w:rPr>
              <w:t>Introduction</w:t>
            </w:r>
            <w:r w:rsidR="00B65056" w:rsidRPr="00B65056">
              <w:rPr>
                <w:rFonts w:ascii="Times New Roman" w:hAnsi="Times New Roman"/>
                <w:noProof/>
                <w:webHidden/>
              </w:rPr>
              <w:tab/>
            </w:r>
            <w:r w:rsidR="00B65056" w:rsidRPr="00B65056">
              <w:rPr>
                <w:rFonts w:ascii="Times New Roman" w:hAnsi="Times New Roman"/>
                <w:noProof/>
                <w:webHidden/>
              </w:rPr>
              <w:fldChar w:fldCharType="begin"/>
            </w:r>
            <w:r w:rsidR="00B65056" w:rsidRPr="00B65056">
              <w:rPr>
                <w:rFonts w:ascii="Times New Roman" w:hAnsi="Times New Roman"/>
                <w:noProof/>
                <w:webHidden/>
              </w:rPr>
              <w:instrText xml:space="preserve"> PAGEREF _Toc501363537 \h </w:instrText>
            </w:r>
            <w:r w:rsidR="00B65056" w:rsidRPr="00B65056">
              <w:rPr>
                <w:rFonts w:ascii="Times New Roman" w:hAnsi="Times New Roman"/>
                <w:noProof/>
                <w:webHidden/>
              </w:rPr>
            </w:r>
            <w:r w:rsidR="00B65056" w:rsidRPr="00B65056">
              <w:rPr>
                <w:rFonts w:ascii="Times New Roman" w:hAnsi="Times New Roman"/>
                <w:noProof/>
                <w:webHidden/>
              </w:rPr>
              <w:fldChar w:fldCharType="separate"/>
            </w:r>
            <w:r w:rsidR="00B65056" w:rsidRPr="00B65056">
              <w:rPr>
                <w:rFonts w:ascii="Times New Roman" w:hAnsi="Times New Roman"/>
                <w:noProof/>
                <w:webHidden/>
              </w:rPr>
              <w:t>3</w:t>
            </w:r>
            <w:r w:rsidR="00B65056" w:rsidRPr="00B65056">
              <w:rPr>
                <w:rFonts w:ascii="Times New Roman" w:hAnsi="Times New Roman"/>
                <w:noProof/>
                <w:webHidden/>
              </w:rPr>
              <w:fldChar w:fldCharType="end"/>
            </w:r>
          </w:hyperlink>
        </w:p>
        <w:p w14:paraId="26502D59" w14:textId="4DBD3317" w:rsidR="00B65056" w:rsidRPr="00B65056" w:rsidRDefault="00A06A66">
          <w:pPr>
            <w:pStyle w:val="TOC1"/>
            <w:tabs>
              <w:tab w:val="left" w:pos="1100"/>
              <w:tab w:val="right" w:leader="dot" w:pos="9350"/>
            </w:tabs>
            <w:rPr>
              <w:rFonts w:ascii="Times New Roman" w:hAnsi="Times New Roman"/>
              <w:noProof/>
              <w:sz w:val="22"/>
              <w:szCs w:val="28"/>
              <w:lang w:bidi="th-TH"/>
            </w:rPr>
          </w:pPr>
          <w:hyperlink w:anchor="_Toc501363538" w:history="1">
            <w:r w:rsidR="00B65056" w:rsidRPr="00B65056">
              <w:rPr>
                <w:rStyle w:val="Hyperlink"/>
                <w:rFonts w:ascii="Times New Roman" w:hAnsi="Times New Roman"/>
                <w:noProof/>
              </w:rPr>
              <w:t>3</w:t>
            </w:r>
            <w:r w:rsidR="00B65056" w:rsidRPr="00B65056">
              <w:rPr>
                <w:rFonts w:ascii="Times New Roman" w:hAnsi="Times New Roman"/>
                <w:noProof/>
                <w:sz w:val="22"/>
                <w:szCs w:val="28"/>
                <w:lang w:bidi="th-TH"/>
              </w:rPr>
              <w:tab/>
            </w:r>
            <w:r w:rsidR="00B65056" w:rsidRPr="00B65056">
              <w:rPr>
                <w:rStyle w:val="Hyperlink"/>
                <w:rFonts w:ascii="Times New Roman" w:hAnsi="Times New Roman"/>
                <w:noProof/>
              </w:rPr>
              <w:t>Consumption Aggregate</w:t>
            </w:r>
            <w:r w:rsidR="00B65056" w:rsidRPr="00B65056">
              <w:rPr>
                <w:rFonts w:ascii="Times New Roman" w:hAnsi="Times New Roman"/>
                <w:noProof/>
                <w:webHidden/>
              </w:rPr>
              <w:tab/>
            </w:r>
            <w:r w:rsidR="00B65056" w:rsidRPr="00B65056">
              <w:rPr>
                <w:rFonts w:ascii="Times New Roman" w:hAnsi="Times New Roman"/>
                <w:noProof/>
                <w:webHidden/>
              </w:rPr>
              <w:fldChar w:fldCharType="begin"/>
            </w:r>
            <w:r w:rsidR="00B65056" w:rsidRPr="00B65056">
              <w:rPr>
                <w:rFonts w:ascii="Times New Roman" w:hAnsi="Times New Roman"/>
                <w:noProof/>
                <w:webHidden/>
              </w:rPr>
              <w:instrText xml:space="preserve"> PAGEREF _Toc501363538 \h </w:instrText>
            </w:r>
            <w:r w:rsidR="00B65056" w:rsidRPr="00B65056">
              <w:rPr>
                <w:rFonts w:ascii="Times New Roman" w:hAnsi="Times New Roman"/>
                <w:noProof/>
                <w:webHidden/>
              </w:rPr>
            </w:r>
            <w:r w:rsidR="00B65056" w:rsidRPr="00B65056">
              <w:rPr>
                <w:rFonts w:ascii="Times New Roman" w:hAnsi="Times New Roman"/>
                <w:noProof/>
                <w:webHidden/>
              </w:rPr>
              <w:fldChar w:fldCharType="separate"/>
            </w:r>
            <w:r w:rsidR="00B65056" w:rsidRPr="00B65056">
              <w:rPr>
                <w:rFonts w:ascii="Times New Roman" w:hAnsi="Times New Roman"/>
                <w:noProof/>
                <w:webHidden/>
              </w:rPr>
              <w:t>4</w:t>
            </w:r>
            <w:r w:rsidR="00B65056" w:rsidRPr="00B65056">
              <w:rPr>
                <w:rFonts w:ascii="Times New Roman" w:hAnsi="Times New Roman"/>
                <w:noProof/>
                <w:webHidden/>
              </w:rPr>
              <w:fldChar w:fldCharType="end"/>
            </w:r>
          </w:hyperlink>
        </w:p>
        <w:p w14:paraId="6CE86CEC" w14:textId="62381A45" w:rsidR="00B65056" w:rsidRPr="00B65056" w:rsidRDefault="00A06A66">
          <w:pPr>
            <w:pStyle w:val="TOC2"/>
            <w:tabs>
              <w:tab w:val="left" w:pos="880"/>
              <w:tab w:val="right" w:leader="dot" w:pos="9350"/>
            </w:tabs>
            <w:rPr>
              <w:rFonts w:ascii="Times New Roman" w:hAnsi="Times New Roman" w:cs="Times New Roman"/>
              <w:noProof/>
            </w:rPr>
          </w:pPr>
          <w:hyperlink w:anchor="_Toc501363539" w:history="1">
            <w:r w:rsidR="00B65056" w:rsidRPr="00B65056">
              <w:rPr>
                <w:rStyle w:val="Hyperlink"/>
                <w:rFonts w:ascii="Times New Roman" w:hAnsi="Times New Roman" w:cs="Times New Roman"/>
                <w:noProof/>
              </w:rPr>
              <w:t>3.1</w:t>
            </w:r>
            <w:r w:rsidR="00B65056" w:rsidRPr="00B65056">
              <w:rPr>
                <w:rFonts w:ascii="Times New Roman" w:hAnsi="Times New Roman" w:cs="Times New Roman"/>
                <w:noProof/>
              </w:rPr>
              <w:tab/>
            </w:r>
            <w:r w:rsidR="00B65056" w:rsidRPr="00B65056">
              <w:rPr>
                <w:rStyle w:val="Hyperlink"/>
                <w:rFonts w:ascii="Times New Roman" w:hAnsi="Times New Roman" w:cs="Times New Roman"/>
                <w:noProof/>
              </w:rPr>
              <w:t>Components of Consumption Aggregate</w:t>
            </w:r>
            <w:r w:rsidR="00B65056" w:rsidRPr="00B65056">
              <w:rPr>
                <w:rFonts w:ascii="Times New Roman" w:hAnsi="Times New Roman" w:cs="Times New Roman"/>
                <w:noProof/>
                <w:webHidden/>
              </w:rPr>
              <w:tab/>
            </w:r>
            <w:r w:rsidR="00B65056" w:rsidRPr="00B65056">
              <w:rPr>
                <w:rFonts w:ascii="Times New Roman" w:hAnsi="Times New Roman" w:cs="Times New Roman"/>
                <w:noProof/>
                <w:webHidden/>
              </w:rPr>
              <w:fldChar w:fldCharType="begin"/>
            </w:r>
            <w:r w:rsidR="00B65056" w:rsidRPr="00B65056">
              <w:rPr>
                <w:rFonts w:ascii="Times New Roman" w:hAnsi="Times New Roman" w:cs="Times New Roman"/>
                <w:noProof/>
                <w:webHidden/>
              </w:rPr>
              <w:instrText xml:space="preserve"> PAGEREF _Toc501363539 \h </w:instrText>
            </w:r>
            <w:r w:rsidR="00B65056" w:rsidRPr="00B65056">
              <w:rPr>
                <w:rFonts w:ascii="Times New Roman" w:hAnsi="Times New Roman" w:cs="Times New Roman"/>
                <w:noProof/>
                <w:webHidden/>
              </w:rPr>
            </w:r>
            <w:r w:rsidR="00B65056" w:rsidRPr="00B65056">
              <w:rPr>
                <w:rFonts w:ascii="Times New Roman" w:hAnsi="Times New Roman" w:cs="Times New Roman"/>
                <w:noProof/>
                <w:webHidden/>
              </w:rPr>
              <w:fldChar w:fldCharType="separate"/>
            </w:r>
            <w:r w:rsidR="00B65056" w:rsidRPr="00B65056">
              <w:rPr>
                <w:rFonts w:ascii="Times New Roman" w:hAnsi="Times New Roman" w:cs="Times New Roman"/>
                <w:noProof/>
                <w:webHidden/>
              </w:rPr>
              <w:t>4</w:t>
            </w:r>
            <w:r w:rsidR="00B65056" w:rsidRPr="00B65056">
              <w:rPr>
                <w:rFonts w:ascii="Times New Roman" w:hAnsi="Times New Roman" w:cs="Times New Roman"/>
                <w:noProof/>
                <w:webHidden/>
              </w:rPr>
              <w:fldChar w:fldCharType="end"/>
            </w:r>
          </w:hyperlink>
        </w:p>
        <w:p w14:paraId="2BA77F6A" w14:textId="77144176" w:rsidR="00B65056" w:rsidRPr="00B65056" w:rsidRDefault="00A06A66">
          <w:pPr>
            <w:pStyle w:val="TOC3"/>
            <w:tabs>
              <w:tab w:val="left" w:pos="1320"/>
              <w:tab w:val="right" w:leader="dot" w:pos="9350"/>
            </w:tabs>
            <w:rPr>
              <w:rFonts w:ascii="Times New Roman" w:hAnsi="Times New Roman" w:cs="Times New Roman"/>
              <w:noProof/>
            </w:rPr>
          </w:pPr>
          <w:hyperlink w:anchor="_Toc501363540" w:history="1">
            <w:r w:rsidR="00B65056" w:rsidRPr="00B65056">
              <w:rPr>
                <w:rStyle w:val="Hyperlink"/>
                <w:rFonts w:ascii="Times New Roman" w:hAnsi="Times New Roman" w:cs="Times New Roman"/>
                <w:noProof/>
              </w:rPr>
              <w:t>3.1.1</w:t>
            </w:r>
            <w:r w:rsidR="00B65056" w:rsidRPr="00B65056">
              <w:rPr>
                <w:rFonts w:ascii="Times New Roman" w:hAnsi="Times New Roman" w:cs="Times New Roman"/>
                <w:noProof/>
              </w:rPr>
              <w:tab/>
            </w:r>
            <w:r w:rsidR="00B65056" w:rsidRPr="00B65056">
              <w:rPr>
                <w:rStyle w:val="Hyperlink"/>
                <w:rFonts w:ascii="Times New Roman" w:hAnsi="Times New Roman" w:cs="Times New Roman"/>
                <w:noProof/>
              </w:rPr>
              <w:t>Food and Non-alcoholic Beverages</w:t>
            </w:r>
            <w:r w:rsidR="00B65056" w:rsidRPr="00B65056">
              <w:rPr>
                <w:rFonts w:ascii="Times New Roman" w:hAnsi="Times New Roman" w:cs="Times New Roman"/>
                <w:noProof/>
                <w:webHidden/>
              </w:rPr>
              <w:tab/>
            </w:r>
            <w:r w:rsidR="00B65056" w:rsidRPr="00B65056">
              <w:rPr>
                <w:rFonts w:ascii="Times New Roman" w:hAnsi="Times New Roman" w:cs="Times New Roman"/>
                <w:noProof/>
                <w:webHidden/>
              </w:rPr>
              <w:fldChar w:fldCharType="begin"/>
            </w:r>
            <w:r w:rsidR="00B65056" w:rsidRPr="00B65056">
              <w:rPr>
                <w:rFonts w:ascii="Times New Roman" w:hAnsi="Times New Roman" w:cs="Times New Roman"/>
                <w:noProof/>
                <w:webHidden/>
              </w:rPr>
              <w:instrText xml:space="preserve"> PAGEREF _Toc501363540 \h </w:instrText>
            </w:r>
            <w:r w:rsidR="00B65056" w:rsidRPr="00B65056">
              <w:rPr>
                <w:rFonts w:ascii="Times New Roman" w:hAnsi="Times New Roman" w:cs="Times New Roman"/>
                <w:noProof/>
                <w:webHidden/>
              </w:rPr>
            </w:r>
            <w:r w:rsidR="00B65056" w:rsidRPr="00B65056">
              <w:rPr>
                <w:rFonts w:ascii="Times New Roman" w:hAnsi="Times New Roman" w:cs="Times New Roman"/>
                <w:noProof/>
                <w:webHidden/>
              </w:rPr>
              <w:fldChar w:fldCharType="separate"/>
            </w:r>
            <w:r w:rsidR="00B65056" w:rsidRPr="00B65056">
              <w:rPr>
                <w:rFonts w:ascii="Times New Roman" w:hAnsi="Times New Roman" w:cs="Times New Roman"/>
                <w:noProof/>
                <w:webHidden/>
              </w:rPr>
              <w:t>4</w:t>
            </w:r>
            <w:r w:rsidR="00B65056" w:rsidRPr="00B65056">
              <w:rPr>
                <w:rFonts w:ascii="Times New Roman" w:hAnsi="Times New Roman" w:cs="Times New Roman"/>
                <w:noProof/>
                <w:webHidden/>
              </w:rPr>
              <w:fldChar w:fldCharType="end"/>
            </w:r>
          </w:hyperlink>
        </w:p>
        <w:p w14:paraId="53CFCBB7" w14:textId="229F6107" w:rsidR="00B65056" w:rsidRPr="00B65056" w:rsidRDefault="00A06A66">
          <w:pPr>
            <w:pStyle w:val="TOC3"/>
            <w:tabs>
              <w:tab w:val="left" w:pos="1320"/>
              <w:tab w:val="right" w:leader="dot" w:pos="9350"/>
            </w:tabs>
            <w:rPr>
              <w:rFonts w:ascii="Times New Roman" w:hAnsi="Times New Roman" w:cs="Times New Roman"/>
              <w:noProof/>
            </w:rPr>
          </w:pPr>
          <w:hyperlink w:anchor="_Toc501363541" w:history="1">
            <w:r w:rsidR="00B65056" w:rsidRPr="00B65056">
              <w:rPr>
                <w:rStyle w:val="Hyperlink"/>
                <w:rFonts w:ascii="Times New Roman" w:hAnsi="Times New Roman" w:cs="Times New Roman"/>
                <w:noProof/>
              </w:rPr>
              <w:t>3.1.2</w:t>
            </w:r>
            <w:r w:rsidR="00B65056" w:rsidRPr="00B65056">
              <w:rPr>
                <w:rFonts w:ascii="Times New Roman" w:hAnsi="Times New Roman" w:cs="Times New Roman"/>
                <w:noProof/>
              </w:rPr>
              <w:tab/>
            </w:r>
            <w:r w:rsidR="00B65056" w:rsidRPr="00B65056">
              <w:rPr>
                <w:rStyle w:val="Hyperlink"/>
                <w:rFonts w:ascii="Times New Roman" w:hAnsi="Times New Roman" w:cs="Times New Roman"/>
                <w:noProof/>
              </w:rPr>
              <w:t>Non-food Items</w:t>
            </w:r>
            <w:r w:rsidR="00B65056" w:rsidRPr="00B65056">
              <w:rPr>
                <w:rFonts w:ascii="Times New Roman" w:hAnsi="Times New Roman" w:cs="Times New Roman"/>
                <w:noProof/>
                <w:webHidden/>
              </w:rPr>
              <w:tab/>
            </w:r>
            <w:r w:rsidR="00B65056" w:rsidRPr="00B65056">
              <w:rPr>
                <w:rFonts w:ascii="Times New Roman" w:hAnsi="Times New Roman" w:cs="Times New Roman"/>
                <w:noProof/>
                <w:webHidden/>
              </w:rPr>
              <w:fldChar w:fldCharType="begin"/>
            </w:r>
            <w:r w:rsidR="00B65056" w:rsidRPr="00B65056">
              <w:rPr>
                <w:rFonts w:ascii="Times New Roman" w:hAnsi="Times New Roman" w:cs="Times New Roman"/>
                <w:noProof/>
                <w:webHidden/>
              </w:rPr>
              <w:instrText xml:space="preserve"> PAGEREF _Toc501363541 \h </w:instrText>
            </w:r>
            <w:r w:rsidR="00B65056" w:rsidRPr="00B65056">
              <w:rPr>
                <w:rFonts w:ascii="Times New Roman" w:hAnsi="Times New Roman" w:cs="Times New Roman"/>
                <w:noProof/>
                <w:webHidden/>
              </w:rPr>
            </w:r>
            <w:r w:rsidR="00B65056" w:rsidRPr="00B65056">
              <w:rPr>
                <w:rFonts w:ascii="Times New Roman" w:hAnsi="Times New Roman" w:cs="Times New Roman"/>
                <w:noProof/>
                <w:webHidden/>
              </w:rPr>
              <w:fldChar w:fldCharType="separate"/>
            </w:r>
            <w:r w:rsidR="00B65056" w:rsidRPr="00B65056">
              <w:rPr>
                <w:rFonts w:ascii="Times New Roman" w:hAnsi="Times New Roman" w:cs="Times New Roman"/>
                <w:noProof/>
                <w:webHidden/>
              </w:rPr>
              <w:t>5</w:t>
            </w:r>
            <w:r w:rsidR="00B65056" w:rsidRPr="00B65056">
              <w:rPr>
                <w:rFonts w:ascii="Times New Roman" w:hAnsi="Times New Roman" w:cs="Times New Roman"/>
                <w:noProof/>
                <w:webHidden/>
              </w:rPr>
              <w:fldChar w:fldCharType="end"/>
            </w:r>
          </w:hyperlink>
        </w:p>
        <w:p w14:paraId="65C70CE3" w14:textId="01F6D44F" w:rsidR="00B65056" w:rsidRPr="00B65056" w:rsidRDefault="00A06A66">
          <w:pPr>
            <w:pStyle w:val="TOC2"/>
            <w:tabs>
              <w:tab w:val="left" w:pos="880"/>
              <w:tab w:val="right" w:leader="dot" w:pos="9350"/>
            </w:tabs>
            <w:rPr>
              <w:rFonts w:ascii="Times New Roman" w:hAnsi="Times New Roman" w:cs="Times New Roman"/>
              <w:noProof/>
            </w:rPr>
          </w:pPr>
          <w:hyperlink w:anchor="_Toc501363542" w:history="1">
            <w:r w:rsidR="00B65056" w:rsidRPr="00B65056">
              <w:rPr>
                <w:rStyle w:val="Hyperlink"/>
                <w:rFonts w:ascii="Times New Roman" w:eastAsia="Calibri" w:hAnsi="Times New Roman" w:cs="Times New Roman"/>
                <w:noProof/>
              </w:rPr>
              <w:t>3.2</w:t>
            </w:r>
            <w:r w:rsidR="00B65056" w:rsidRPr="00B65056">
              <w:rPr>
                <w:rFonts w:ascii="Times New Roman" w:hAnsi="Times New Roman" w:cs="Times New Roman"/>
                <w:noProof/>
              </w:rPr>
              <w:tab/>
            </w:r>
            <w:r w:rsidR="00B65056" w:rsidRPr="00B65056">
              <w:rPr>
                <w:rStyle w:val="Hyperlink"/>
                <w:rFonts w:ascii="Times New Roman" w:eastAsia="Calibri" w:hAnsi="Times New Roman" w:cs="Times New Roman"/>
                <w:noProof/>
              </w:rPr>
              <w:t>Normalization of Household Consumption</w:t>
            </w:r>
            <w:r w:rsidR="00B65056" w:rsidRPr="00B65056">
              <w:rPr>
                <w:rFonts w:ascii="Times New Roman" w:hAnsi="Times New Roman" w:cs="Times New Roman"/>
                <w:noProof/>
                <w:webHidden/>
              </w:rPr>
              <w:tab/>
            </w:r>
            <w:r w:rsidR="00B65056" w:rsidRPr="00B65056">
              <w:rPr>
                <w:rFonts w:ascii="Times New Roman" w:hAnsi="Times New Roman" w:cs="Times New Roman"/>
                <w:noProof/>
                <w:webHidden/>
              </w:rPr>
              <w:fldChar w:fldCharType="begin"/>
            </w:r>
            <w:r w:rsidR="00B65056" w:rsidRPr="00B65056">
              <w:rPr>
                <w:rFonts w:ascii="Times New Roman" w:hAnsi="Times New Roman" w:cs="Times New Roman"/>
                <w:noProof/>
                <w:webHidden/>
              </w:rPr>
              <w:instrText xml:space="preserve"> PAGEREF _Toc501363542 \h </w:instrText>
            </w:r>
            <w:r w:rsidR="00B65056" w:rsidRPr="00B65056">
              <w:rPr>
                <w:rFonts w:ascii="Times New Roman" w:hAnsi="Times New Roman" w:cs="Times New Roman"/>
                <w:noProof/>
                <w:webHidden/>
              </w:rPr>
            </w:r>
            <w:r w:rsidR="00B65056" w:rsidRPr="00B65056">
              <w:rPr>
                <w:rFonts w:ascii="Times New Roman" w:hAnsi="Times New Roman" w:cs="Times New Roman"/>
                <w:noProof/>
                <w:webHidden/>
              </w:rPr>
              <w:fldChar w:fldCharType="separate"/>
            </w:r>
            <w:r w:rsidR="00B65056" w:rsidRPr="00B65056">
              <w:rPr>
                <w:rFonts w:ascii="Times New Roman" w:hAnsi="Times New Roman" w:cs="Times New Roman"/>
                <w:noProof/>
                <w:webHidden/>
              </w:rPr>
              <w:t>5</w:t>
            </w:r>
            <w:r w:rsidR="00B65056" w:rsidRPr="00B65056">
              <w:rPr>
                <w:rFonts w:ascii="Times New Roman" w:hAnsi="Times New Roman" w:cs="Times New Roman"/>
                <w:noProof/>
                <w:webHidden/>
              </w:rPr>
              <w:fldChar w:fldCharType="end"/>
            </w:r>
          </w:hyperlink>
        </w:p>
        <w:p w14:paraId="20463F67" w14:textId="4E65B5A5" w:rsidR="00B65056" w:rsidRPr="00B65056" w:rsidRDefault="00A06A66">
          <w:pPr>
            <w:pStyle w:val="TOC1"/>
            <w:tabs>
              <w:tab w:val="left" w:pos="1100"/>
              <w:tab w:val="right" w:leader="dot" w:pos="9350"/>
            </w:tabs>
            <w:rPr>
              <w:rFonts w:ascii="Times New Roman" w:hAnsi="Times New Roman"/>
              <w:noProof/>
              <w:sz w:val="22"/>
              <w:szCs w:val="28"/>
              <w:lang w:bidi="th-TH"/>
            </w:rPr>
          </w:pPr>
          <w:hyperlink w:anchor="_Toc501363543" w:history="1">
            <w:r w:rsidR="00B65056" w:rsidRPr="00B65056">
              <w:rPr>
                <w:rStyle w:val="Hyperlink"/>
                <w:rFonts w:ascii="Times New Roman" w:hAnsi="Times New Roman"/>
                <w:noProof/>
              </w:rPr>
              <w:t>4</w:t>
            </w:r>
            <w:r w:rsidR="00B65056" w:rsidRPr="00B65056">
              <w:rPr>
                <w:rFonts w:ascii="Times New Roman" w:hAnsi="Times New Roman"/>
                <w:noProof/>
                <w:sz w:val="22"/>
                <w:szCs w:val="28"/>
                <w:lang w:bidi="th-TH"/>
              </w:rPr>
              <w:tab/>
            </w:r>
            <w:r w:rsidR="00B65056" w:rsidRPr="00B65056">
              <w:rPr>
                <w:rStyle w:val="Hyperlink"/>
                <w:rFonts w:ascii="Times New Roman" w:hAnsi="Times New Roman"/>
                <w:noProof/>
              </w:rPr>
              <w:t>Consumption Poverty Line</w:t>
            </w:r>
            <w:r w:rsidR="00B65056" w:rsidRPr="00B65056">
              <w:rPr>
                <w:rFonts w:ascii="Times New Roman" w:hAnsi="Times New Roman"/>
                <w:noProof/>
                <w:webHidden/>
              </w:rPr>
              <w:tab/>
            </w:r>
            <w:r w:rsidR="00B65056" w:rsidRPr="00B65056">
              <w:rPr>
                <w:rFonts w:ascii="Times New Roman" w:hAnsi="Times New Roman"/>
                <w:noProof/>
                <w:webHidden/>
              </w:rPr>
              <w:fldChar w:fldCharType="begin"/>
            </w:r>
            <w:r w:rsidR="00B65056" w:rsidRPr="00B65056">
              <w:rPr>
                <w:rFonts w:ascii="Times New Roman" w:hAnsi="Times New Roman"/>
                <w:noProof/>
                <w:webHidden/>
              </w:rPr>
              <w:instrText xml:space="preserve"> PAGEREF _Toc501363543 \h </w:instrText>
            </w:r>
            <w:r w:rsidR="00B65056" w:rsidRPr="00B65056">
              <w:rPr>
                <w:rFonts w:ascii="Times New Roman" w:hAnsi="Times New Roman"/>
                <w:noProof/>
                <w:webHidden/>
              </w:rPr>
            </w:r>
            <w:r w:rsidR="00B65056" w:rsidRPr="00B65056">
              <w:rPr>
                <w:rFonts w:ascii="Times New Roman" w:hAnsi="Times New Roman"/>
                <w:noProof/>
                <w:webHidden/>
              </w:rPr>
              <w:fldChar w:fldCharType="separate"/>
            </w:r>
            <w:r w:rsidR="00B65056" w:rsidRPr="00B65056">
              <w:rPr>
                <w:rFonts w:ascii="Times New Roman" w:hAnsi="Times New Roman"/>
                <w:noProof/>
                <w:webHidden/>
              </w:rPr>
              <w:t>6</w:t>
            </w:r>
            <w:r w:rsidR="00B65056" w:rsidRPr="00B65056">
              <w:rPr>
                <w:rFonts w:ascii="Times New Roman" w:hAnsi="Times New Roman"/>
                <w:noProof/>
                <w:webHidden/>
              </w:rPr>
              <w:fldChar w:fldCharType="end"/>
            </w:r>
          </w:hyperlink>
        </w:p>
        <w:p w14:paraId="41FB0B37" w14:textId="0125DA93" w:rsidR="00B65056" w:rsidRPr="00B65056" w:rsidRDefault="00A06A66">
          <w:pPr>
            <w:pStyle w:val="TOC1"/>
            <w:tabs>
              <w:tab w:val="left" w:pos="1100"/>
              <w:tab w:val="right" w:leader="dot" w:pos="9350"/>
            </w:tabs>
            <w:rPr>
              <w:rFonts w:ascii="Times New Roman" w:hAnsi="Times New Roman"/>
              <w:noProof/>
              <w:sz w:val="22"/>
              <w:szCs w:val="28"/>
              <w:lang w:bidi="th-TH"/>
            </w:rPr>
          </w:pPr>
          <w:hyperlink w:anchor="_Toc501363544" w:history="1">
            <w:r w:rsidR="00B65056" w:rsidRPr="00B65056">
              <w:rPr>
                <w:rStyle w:val="Hyperlink"/>
                <w:rFonts w:ascii="Times New Roman" w:hAnsi="Times New Roman"/>
                <w:noProof/>
              </w:rPr>
              <w:t>5</w:t>
            </w:r>
            <w:r w:rsidR="00B65056" w:rsidRPr="00B65056">
              <w:rPr>
                <w:rFonts w:ascii="Times New Roman" w:hAnsi="Times New Roman"/>
                <w:noProof/>
                <w:sz w:val="22"/>
                <w:szCs w:val="28"/>
                <w:lang w:bidi="th-TH"/>
              </w:rPr>
              <w:tab/>
            </w:r>
            <w:r w:rsidR="00B65056" w:rsidRPr="00B65056">
              <w:rPr>
                <w:rStyle w:val="Hyperlink"/>
                <w:rFonts w:ascii="Times New Roman" w:hAnsi="Times New Roman"/>
                <w:noProof/>
              </w:rPr>
              <w:t>Income Poverty Line</w:t>
            </w:r>
            <w:r w:rsidR="00B65056" w:rsidRPr="00B65056">
              <w:rPr>
                <w:rFonts w:ascii="Times New Roman" w:hAnsi="Times New Roman"/>
                <w:noProof/>
                <w:webHidden/>
              </w:rPr>
              <w:tab/>
            </w:r>
            <w:r w:rsidR="00B65056" w:rsidRPr="00B65056">
              <w:rPr>
                <w:rFonts w:ascii="Times New Roman" w:hAnsi="Times New Roman"/>
                <w:noProof/>
                <w:webHidden/>
              </w:rPr>
              <w:fldChar w:fldCharType="begin"/>
            </w:r>
            <w:r w:rsidR="00B65056" w:rsidRPr="00B65056">
              <w:rPr>
                <w:rFonts w:ascii="Times New Roman" w:hAnsi="Times New Roman"/>
                <w:noProof/>
                <w:webHidden/>
              </w:rPr>
              <w:instrText xml:space="preserve"> PAGEREF _Toc501363544 \h </w:instrText>
            </w:r>
            <w:r w:rsidR="00B65056" w:rsidRPr="00B65056">
              <w:rPr>
                <w:rFonts w:ascii="Times New Roman" w:hAnsi="Times New Roman"/>
                <w:noProof/>
                <w:webHidden/>
              </w:rPr>
            </w:r>
            <w:r w:rsidR="00B65056" w:rsidRPr="00B65056">
              <w:rPr>
                <w:rFonts w:ascii="Times New Roman" w:hAnsi="Times New Roman"/>
                <w:noProof/>
                <w:webHidden/>
              </w:rPr>
              <w:fldChar w:fldCharType="separate"/>
            </w:r>
            <w:r w:rsidR="00B65056" w:rsidRPr="00B65056">
              <w:rPr>
                <w:rFonts w:ascii="Times New Roman" w:hAnsi="Times New Roman"/>
                <w:noProof/>
                <w:webHidden/>
              </w:rPr>
              <w:t>6</w:t>
            </w:r>
            <w:r w:rsidR="00B65056" w:rsidRPr="00B65056">
              <w:rPr>
                <w:rFonts w:ascii="Times New Roman" w:hAnsi="Times New Roman"/>
                <w:noProof/>
                <w:webHidden/>
              </w:rPr>
              <w:fldChar w:fldCharType="end"/>
            </w:r>
          </w:hyperlink>
        </w:p>
        <w:p w14:paraId="51598B38" w14:textId="70FFD6CA" w:rsidR="00836853" w:rsidRPr="00B65056" w:rsidRDefault="00836853">
          <w:pPr>
            <w:rPr>
              <w:rFonts w:ascii="Times New Roman" w:hAnsi="Times New Roman" w:cs="Times New Roman"/>
              <w:sz w:val="24"/>
              <w:szCs w:val="24"/>
            </w:rPr>
          </w:pPr>
          <w:r w:rsidRPr="00B65056">
            <w:rPr>
              <w:rFonts w:ascii="Times New Roman" w:hAnsi="Times New Roman" w:cs="Times New Roman"/>
              <w:b/>
              <w:bCs/>
              <w:noProof/>
              <w:sz w:val="24"/>
              <w:szCs w:val="24"/>
            </w:rPr>
            <w:fldChar w:fldCharType="end"/>
          </w:r>
        </w:p>
      </w:sdtContent>
    </w:sdt>
    <w:p w14:paraId="698E14A8" w14:textId="6DAD5037" w:rsidR="006A0B94" w:rsidRPr="00B65056" w:rsidRDefault="006A0B94" w:rsidP="006A0B94">
      <w:pPr>
        <w:rPr>
          <w:rFonts w:ascii="Times New Roman" w:hAnsi="Times New Roman" w:cs="Times New Roman"/>
          <w:sz w:val="24"/>
          <w:szCs w:val="24"/>
        </w:rPr>
      </w:pPr>
    </w:p>
    <w:p w14:paraId="2CEB4A70" w14:textId="79F63A44" w:rsidR="00210637" w:rsidRPr="00B65056" w:rsidRDefault="00210637" w:rsidP="006A0B94">
      <w:pPr>
        <w:rPr>
          <w:rFonts w:ascii="Times New Roman" w:hAnsi="Times New Roman" w:cs="Times New Roman"/>
          <w:sz w:val="24"/>
          <w:szCs w:val="24"/>
        </w:rPr>
      </w:pPr>
    </w:p>
    <w:p w14:paraId="76264BD2" w14:textId="7372C5E9" w:rsidR="00210637" w:rsidRPr="00B65056" w:rsidRDefault="00210637" w:rsidP="006A0B94">
      <w:pPr>
        <w:rPr>
          <w:rFonts w:ascii="Times New Roman" w:hAnsi="Times New Roman" w:cs="Times New Roman"/>
          <w:sz w:val="24"/>
          <w:szCs w:val="24"/>
        </w:rPr>
      </w:pPr>
    </w:p>
    <w:p w14:paraId="151F6D50" w14:textId="06D8D165" w:rsidR="00210637" w:rsidRPr="00B65056" w:rsidRDefault="00210637" w:rsidP="006A0B94">
      <w:pPr>
        <w:rPr>
          <w:rFonts w:ascii="Times New Roman" w:hAnsi="Times New Roman" w:cs="Times New Roman"/>
          <w:sz w:val="24"/>
          <w:szCs w:val="24"/>
        </w:rPr>
      </w:pPr>
    </w:p>
    <w:p w14:paraId="46E5D47A" w14:textId="13710248" w:rsidR="00210637" w:rsidRPr="00B65056" w:rsidRDefault="00210637" w:rsidP="006A0B94">
      <w:pPr>
        <w:rPr>
          <w:rFonts w:ascii="Times New Roman" w:hAnsi="Times New Roman" w:cs="Times New Roman"/>
          <w:sz w:val="24"/>
          <w:szCs w:val="24"/>
        </w:rPr>
      </w:pPr>
    </w:p>
    <w:p w14:paraId="7171480A" w14:textId="45AB5E0A" w:rsidR="00210637" w:rsidRPr="00B65056" w:rsidRDefault="00210637" w:rsidP="006A0B94">
      <w:pPr>
        <w:rPr>
          <w:rFonts w:ascii="Times New Roman" w:hAnsi="Times New Roman" w:cs="Times New Roman"/>
          <w:sz w:val="24"/>
          <w:szCs w:val="24"/>
        </w:rPr>
      </w:pPr>
    </w:p>
    <w:p w14:paraId="5A438FA8" w14:textId="5A33ECD6" w:rsidR="00210637" w:rsidRPr="00B65056" w:rsidRDefault="00210637" w:rsidP="006A0B94">
      <w:pPr>
        <w:rPr>
          <w:rFonts w:ascii="Times New Roman" w:hAnsi="Times New Roman" w:cs="Times New Roman"/>
          <w:sz w:val="24"/>
          <w:szCs w:val="24"/>
        </w:rPr>
      </w:pPr>
    </w:p>
    <w:p w14:paraId="1511A70F" w14:textId="0F2AB818" w:rsidR="00210637" w:rsidRPr="00B65056" w:rsidRDefault="00210637" w:rsidP="006A0B94">
      <w:pPr>
        <w:rPr>
          <w:rFonts w:ascii="Times New Roman" w:hAnsi="Times New Roman" w:cs="Times New Roman"/>
          <w:sz w:val="24"/>
          <w:szCs w:val="24"/>
        </w:rPr>
      </w:pPr>
    </w:p>
    <w:p w14:paraId="74E52EC2" w14:textId="212F0D0A" w:rsidR="00210637" w:rsidRPr="00B65056" w:rsidRDefault="00210637" w:rsidP="006A0B94">
      <w:pPr>
        <w:rPr>
          <w:rFonts w:ascii="Times New Roman" w:hAnsi="Times New Roman" w:cs="Times New Roman"/>
          <w:sz w:val="24"/>
          <w:szCs w:val="24"/>
        </w:rPr>
      </w:pPr>
    </w:p>
    <w:p w14:paraId="25140271" w14:textId="012892CB" w:rsidR="00210637" w:rsidRPr="00B65056" w:rsidRDefault="00210637" w:rsidP="006A0B94">
      <w:pPr>
        <w:rPr>
          <w:rFonts w:ascii="Times New Roman" w:hAnsi="Times New Roman" w:cs="Times New Roman"/>
          <w:sz w:val="24"/>
          <w:szCs w:val="24"/>
        </w:rPr>
      </w:pPr>
    </w:p>
    <w:p w14:paraId="0C94209C" w14:textId="01B2C68C" w:rsidR="00210637" w:rsidRPr="00B65056" w:rsidRDefault="00210637" w:rsidP="006A0B94">
      <w:pPr>
        <w:rPr>
          <w:rFonts w:ascii="Times New Roman" w:hAnsi="Times New Roman" w:cs="Times New Roman"/>
          <w:sz w:val="24"/>
          <w:szCs w:val="24"/>
        </w:rPr>
      </w:pPr>
    </w:p>
    <w:p w14:paraId="4277A421" w14:textId="51FB86AB" w:rsidR="00210637" w:rsidRPr="00B65056" w:rsidRDefault="00210637" w:rsidP="006A0B94">
      <w:pPr>
        <w:rPr>
          <w:rFonts w:ascii="Times New Roman" w:hAnsi="Times New Roman" w:cs="Times New Roman"/>
          <w:sz w:val="24"/>
          <w:szCs w:val="24"/>
        </w:rPr>
      </w:pPr>
    </w:p>
    <w:p w14:paraId="396A1CB9" w14:textId="6D8334FD" w:rsidR="00210637" w:rsidRPr="00B65056" w:rsidRDefault="00210637" w:rsidP="006A0B94">
      <w:pPr>
        <w:rPr>
          <w:rFonts w:ascii="Times New Roman" w:hAnsi="Times New Roman" w:cs="Times New Roman"/>
          <w:sz w:val="24"/>
          <w:szCs w:val="24"/>
        </w:rPr>
      </w:pPr>
    </w:p>
    <w:p w14:paraId="73E7577B" w14:textId="7D75D9A2" w:rsidR="00210637" w:rsidRDefault="00210637" w:rsidP="006A0B94">
      <w:pPr>
        <w:rPr>
          <w:rFonts w:ascii="Times New Roman" w:hAnsi="Times New Roman" w:cs="Times New Roman"/>
          <w:sz w:val="24"/>
          <w:szCs w:val="24"/>
        </w:rPr>
      </w:pPr>
    </w:p>
    <w:p w14:paraId="2D2B16CF" w14:textId="6916DFE2" w:rsidR="00C10769" w:rsidRDefault="00C10769" w:rsidP="006A0B94">
      <w:pPr>
        <w:rPr>
          <w:rFonts w:ascii="Times New Roman" w:hAnsi="Times New Roman" w:cs="Times New Roman"/>
          <w:sz w:val="24"/>
          <w:szCs w:val="24"/>
        </w:rPr>
      </w:pPr>
    </w:p>
    <w:p w14:paraId="2D97D564" w14:textId="310DC1E3" w:rsidR="00C10769" w:rsidRDefault="00C10769" w:rsidP="006A0B94">
      <w:pPr>
        <w:rPr>
          <w:rFonts w:ascii="Times New Roman" w:hAnsi="Times New Roman" w:cs="Times New Roman"/>
          <w:sz w:val="24"/>
          <w:szCs w:val="24"/>
        </w:rPr>
      </w:pPr>
    </w:p>
    <w:p w14:paraId="77D3DDB4" w14:textId="7C3333E6" w:rsidR="00C10769" w:rsidRDefault="00C10769" w:rsidP="006A0B94">
      <w:pPr>
        <w:rPr>
          <w:rFonts w:ascii="Times New Roman" w:hAnsi="Times New Roman" w:cs="Times New Roman"/>
          <w:sz w:val="24"/>
          <w:szCs w:val="24"/>
        </w:rPr>
      </w:pPr>
    </w:p>
    <w:p w14:paraId="535AF684" w14:textId="6B30CEDC" w:rsidR="00C10769" w:rsidRDefault="00C10769" w:rsidP="006A0B94">
      <w:pPr>
        <w:rPr>
          <w:rFonts w:ascii="Times New Roman" w:hAnsi="Times New Roman"/>
        </w:rPr>
      </w:pPr>
    </w:p>
    <w:p w14:paraId="4A7CAECE" w14:textId="2C4AE96E" w:rsidR="00495B01" w:rsidRDefault="00495B01" w:rsidP="006A0B94">
      <w:pPr>
        <w:rPr>
          <w:rFonts w:ascii="Times New Roman" w:hAnsi="Times New Roman"/>
        </w:rPr>
      </w:pPr>
    </w:p>
    <w:p w14:paraId="5D8E1EC4" w14:textId="0D4AB69F" w:rsidR="00C10769" w:rsidRPr="00B65056" w:rsidRDefault="00C10769" w:rsidP="006A0B94">
      <w:pPr>
        <w:rPr>
          <w:rFonts w:ascii="Times New Roman" w:hAnsi="Times New Roman" w:cs="Times New Roman"/>
          <w:sz w:val="24"/>
          <w:szCs w:val="24"/>
        </w:rPr>
      </w:pPr>
    </w:p>
    <w:p w14:paraId="0CA7109E" w14:textId="42B5D2D8" w:rsidR="006A0B94" w:rsidRPr="00B65056" w:rsidRDefault="00210637" w:rsidP="003B40C9">
      <w:pPr>
        <w:pStyle w:val="Heading1"/>
      </w:pPr>
      <w:bookmarkStart w:id="0" w:name="_Toc501363537"/>
      <w:r w:rsidRPr="003B40C9">
        <w:t>Introduction</w:t>
      </w:r>
      <w:bookmarkEnd w:id="0"/>
    </w:p>
    <w:p w14:paraId="54668B60" w14:textId="7CFDB2B8" w:rsidR="00F222AB" w:rsidRPr="00B65056" w:rsidRDefault="00F222AB" w:rsidP="00F222AB">
      <w:pPr>
        <w:rPr>
          <w:rFonts w:ascii="Times New Roman" w:hAnsi="Times New Roman" w:cs="Times New Roman"/>
          <w:sz w:val="24"/>
          <w:szCs w:val="24"/>
        </w:rPr>
      </w:pPr>
    </w:p>
    <w:p w14:paraId="59ACA9C7" w14:textId="77777777" w:rsidR="00E759C0" w:rsidRPr="00B65056" w:rsidRDefault="00E759C0" w:rsidP="00F222AB">
      <w:pPr>
        <w:rPr>
          <w:rFonts w:ascii="Times New Roman" w:hAnsi="Times New Roman" w:cs="Times New Roman"/>
          <w:sz w:val="24"/>
          <w:szCs w:val="24"/>
        </w:rPr>
      </w:pPr>
      <w:r w:rsidRPr="00B65056">
        <w:rPr>
          <w:rFonts w:ascii="Times New Roman" w:hAnsi="Times New Roman" w:cs="Times New Roman"/>
          <w:sz w:val="24"/>
          <w:szCs w:val="24"/>
        </w:rPr>
        <w:t xml:space="preserve">Three steps need to be taken in measuring poverty (for more discussion see Ravallion, 1998). These are: </w:t>
      </w:r>
    </w:p>
    <w:p w14:paraId="3F83563F" w14:textId="77777777" w:rsidR="00E759C0" w:rsidRPr="00B65056" w:rsidRDefault="00E759C0" w:rsidP="00CD2B6C">
      <w:pPr>
        <w:pStyle w:val="ListParagraph"/>
        <w:numPr>
          <w:ilvl w:val="0"/>
          <w:numId w:val="2"/>
        </w:numPr>
        <w:rPr>
          <w:rFonts w:ascii="Times New Roman" w:hAnsi="Times New Roman" w:cs="Times New Roman"/>
          <w:sz w:val="24"/>
          <w:szCs w:val="24"/>
        </w:rPr>
      </w:pPr>
      <w:r w:rsidRPr="00B65056">
        <w:rPr>
          <w:rFonts w:ascii="Times New Roman" w:hAnsi="Times New Roman" w:cs="Times New Roman"/>
          <w:sz w:val="24"/>
          <w:szCs w:val="24"/>
        </w:rPr>
        <w:t xml:space="preserve">Defining an indicator of welfare; </w:t>
      </w:r>
    </w:p>
    <w:p w14:paraId="1263EFF0" w14:textId="77777777" w:rsidR="00E759C0" w:rsidRPr="00B65056" w:rsidRDefault="00E759C0" w:rsidP="00CD2B6C">
      <w:pPr>
        <w:pStyle w:val="ListParagraph"/>
        <w:numPr>
          <w:ilvl w:val="0"/>
          <w:numId w:val="2"/>
        </w:numPr>
        <w:rPr>
          <w:rFonts w:ascii="Times New Roman" w:hAnsi="Times New Roman" w:cs="Times New Roman"/>
          <w:sz w:val="24"/>
          <w:szCs w:val="24"/>
        </w:rPr>
      </w:pPr>
      <w:r w:rsidRPr="00B65056">
        <w:rPr>
          <w:rFonts w:ascii="Times New Roman" w:hAnsi="Times New Roman" w:cs="Times New Roman"/>
          <w:sz w:val="24"/>
          <w:szCs w:val="24"/>
        </w:rPr>
        <w:t xml:space="preserve">Establishing a minimum acceptable standard of that indicator to separate the poor from the non-poor (the poverty line), and; </w:t>
      </w:r>
    </w:p>
    <w:p w14:paraId="2BBE3CAC" w14:textId="2B2054DA" w:rsidR="00F222AB" w:rsidRPr="00B65056" w:rsidRDefault="00E759C0" w:rsidP="00CD2B6C">
      <w:pPr>
        <w:pStyle w:val="ListParagraph"/>
        <w:numPr>
          <w:ilvl w:val="0"/>
          <w:numId w:val="2"/>
        </w:numPr>
        <w:rPr>
          <w:rFonts w:ascii="Times New Roman" w:hAnsi="Times New Roman" w:cs="Times New Roman"/>
          <w:sz w:val="24"/>
          <w:szCs w:val="24"/>
        </w:rPr>
      </w:pPr>
      <w:r w:rsidRPr="00B65056">
        <w:rPr>
          <w:rFonts w:ascii="Times New Roman" w:hAnsi="Times New Roman" w:cs="Times New Roman"/>
          <w:sz w:val="24"/>
          <w:szCs w:val="24"/>
        </w:rPr>
        <w:t xml:space="preserve"> Generating a summary statistic to aggregate the information from the distribution of this welfare indicator relative to the poverty line.</w:t>
      </w:r>
    </w:p>
    <w:p w14:paraId="41DE0595" w14:textId="7D890F99" w:rsidR="00F222AB" w:rsidRPr="00B65056" w:rsidRDefault="00F222AB" w:rsidP="00F222AB">
      <w:pPr>
        <w:rPr>
          <w:rFonts w:ascii="Times New Roman" w:hAnsi="Times New Roman" w:cs="Times New Roman"/>
          <w:sz w:val="24"/>
          <w:szCs w:val="24"/>
        </w:rPr>
      </w:pPr>
    </w:p>
    <w:p w14:paraId="0E28650F" w14:textId="3EB9A952" w:rsidR="00F222AB" w:rsidRPr="00B65056" w:rsidRDefault="00F222AB" w:rsidP="00F222AB">
      <w:pPr>
        <w:rPr>
          <w:rFonts w:ascii="Times New Roman" w:hAnsi="Times New Roman" w:cs="Times New Roman"/>
          <w:sz w:val="24"/>
          <w:szCs w:val="24"/>
        </w:rPr>
      </w:pPr>
    </w:p>
    <w:p w14:paraId="73A18375" w14:textId="163D0316" w:rsidR="00F222AB" w:rsidRPr="00B65056" w:rsidRDefault="00F222AB" w:rsidP="00F222AB">
      <w:pPr>
        <w:rPr>
          <w:rFonts w:ascii="Times New Roman" w:hAnsi="Times New Roman" w:cs="Times New Roman"/>
          <w:sz w:val="24"/>
          <w:szCs w:val="24"/>
        </w:rPr>
      </w:pPr>
    </w:p>
    <w:p w14:paraId="3DAC25E7" w14:textId="1036F0A1" w:rsidR="00F222AB" w:rsidRPr="00B65056" w:rsidRDefault="00F222AB" w:rsidP="00F222AB">
      <w:pPr>
        <w:rPr>
          <w:rFonts w:ascii="Times New Roman" w:hAnsi="Times New Roman" w:cs="Times New Roman"/>
          <w:sz w:val="24"/>
          <w:szCs w:val="24"/>
        </w:rPr>
      </w:pPr>
    </w:p>
    <w:p w14:paraId="26B9FE92" w14:textId="4867F5B7" w:rsidR="00F222AB" w:rsidRPr="00B65056" w:rsidRDefault="00F222AB" w:rsidP="00F222AB">
      <w:pPr>
        <w:rPr>
          <w:rFonts w:ascii="Times New Roman" w:hAnsi="Times New Roman" w:cs="Times New Roman"/>
          <w:sz w:val="24"/>
          <w:szCs w:val="24"/>
        </w:rPr>
      </w:pPr>
    </w:p>
    <w:p w14:paraId="574A3CAE" w14:textId="5606B8D3" w:rsidR="00F222AB" w:rsidRPr="00B65056" w:rsidRDefault="00F222AB" w:rsidP="00F222AB">
      <w:pPr>
        <w:rPr>
          <w:rFonts w:ascii="Times New Roman" w:hAnsi="Times New Roman" w:cs="Times New Roman"/>
          <w:sz w:val="24"/>
          <w:szCs w:val="24"/>
        </w:rPr>
      </w:pPr>
    </w:p>
    <w:p w14:paraId="5AED59C8" w14:textId="5E9A3368" w:rsidR="00F222AB" w:rsidRPr="00B65056" w:rsidRDefault="00F222AB" w:rsidP="00F222AB">
      <w:pPr>
        <w:rPr>
          <w:rFonts w:ascii="Times New Roman" w:hAnsi="Times New Roman" w:cs="Times New Roman"/>
          <w:sz w:val="24"/>
          <w:szCs w:val="24"/>
        </w:rPr>
      </w:pPr>
    </w:p>
    <w:p w14:paraId="5CB3103F" w14:textId="5C831734" w:rsidR="00F222AB" w:rsidRPr="00B65056" w:rsidRDefault="00F222AB" w:rsidP="00F222AB">
      <w:pPr>
        <w:rPr>
          <w:rFonts w:ascii="Times New Roman" w:hAnsi="Times New Roman" w:cs="Times New Roman"/>
          <w:sz w:val="24"/>
          <w:szCs w:val="24"/>
        </w:rPr>
      </w:pPr>
    </w:p>
    <w:p w14:paraId="2C1E0952" w14:textId="17586A0E" w:rsidR="00F222AB" w:rsidRPr="00B65056" w:rsidRDefault="00F222AB" w:rsidP="00F222AB">
      <w:pPr>
        <w:rPr>
          <w:rFonts w:ascii="Times New Roman" w:hAnsi="Times New Roman" w:cs="Times New Roman"/>
          <w:sz w:val="24"/>
          <w:szCs w:val="24"/>
        </w:rPr>
      </w:pPr>
    </w:p>
    <w:p w14:paraId="35E957B4" w14:textId="53D66C35" w:rsidR="00F222AB" w:rsidRPr="00B65056" w:rsidRDefault="00F222AB" w:rsidP="00F222AB">
      <w:pPr>
        <w:rPr>
          <w:rFonts w:ascii="Times New Roman" w:hAnsi="Times New Roman" w:cs="Times New Roman"/>
          <w:sz w:val="24"/>
          <w:szCs w:val="24"/>
        </w:rPr>
      </w:pPr>
    </w:p>
    <w:p w14:paraId="76BA2BA9" w14:textId="75A9B422" w:rsidR="00210637" w:rsidRDefault="00210637" w:rsidP="00210637">
      <w:pPr>
        <w:rPr>
          <w:rFonts w:ascii="Times New Roman" w:hAnsi="Times New Roman" w:cs="Times New Roman"/>
          <w:sz w:val="24"/>
          <w:szCs w:val="24"/>
        </w:rPr>
      </w:pPr>
    </w:p>
    <w:p w14:paraId="0A7072F7" w14:textId="04D6EA50" w:rsidR="00C10769" w:rsidRDefault="00C10769" w:rsidP="00210637">
      <w:pPr>
        <w:rPr>
          <w:rFonts w:ascii="Times New Roman" w:hAnsi="Times New Roman" w:cs="Times New Roman"/>
          <w:sz w:val="24"/>
          <w:szCs w:val="24"/>
        </w:rPr>
      </w:pPr>
    </w:p>
    <w:p w14:paraId="43E7C199" w14:textId="63D8810D" w:rsidR="00C10769" w:rsidRDefault="00C10769" w:rsidP="00210637">
      <w:pPr>
        <w:rPr>
          <w:rFonts w:ascii="Times New Roman" w:hAnsi="Times New Roman" w:cs="Times New Roman"/>
          <w:sz w:val="24"/>
          <w:szCs w:val="24"/>
        </w:rPr>
      </w:pPr>
    </w:p>
    <w:p w14:paraId="03DBB089" w14:textId="3A592E45" w:rsidR="00C10769" w:rsidRDefault="00C10769" w:rsidP="00210637">
      <w:pPr>
        <w:rPr>
          <w:rFonts w:ascii="Times New Roman" w:hAnsi="Times New Roman" w:cs="Times New Roman"/>
          <w:sz w:val="24"/>
          <w:szCs w:val="24"/>
        </w:rPr>
      </w:pPr>
    </w:p>
    <w:p w14:paraId="0A50EAA8" w14:textId="1446A846" w:rsidR="00C10769" w:rsidRDefault="00C10769" w:rsidP="00210637">
      <w:pPr>
        <w:rPr>
          <w:rFonts w:ascii="Times New Roman" w:hAnsi="Times New Roman" w:cs="Times New Roman"/>
          <w:sz w:val="24"/>
          <w:szCs w:val="24"/>
        </w:rPr>
      </w:pPr>
    </w:p>
    <w:p w14:paraId="75B23A8E" w14:textId="2D5858E6" w:rsidR="00C10769" w:rsidRDefault="00C10769" w:rsidP="00210637">
      <w:pPr>
        <w:rPr>
          <w:rFonts w:ascii="Times New Roman" w:hAnsi="Times New Roman" w:cs="Times New Roman"/>
          <w:sz w:val="24"/>
          <w:szCs w:val="24"/>
        </w:rPr>
      </w:pPr>
    </w:p>
    <w:p w14:paraId="3157365D" w14:textId="72BFFF24" w:rsidR="00C10769" w:rsidRDefault="00C10769" w:rsidP="00210637">
      <w:pPr>
        <w:rPr>
          <w:rFonts w:ascii="Times New Roman" w:hAnsi="Times New Roman" w:cs="Times New Roman"/>
          <w:sz w:val="24"/>
          <w:szCs w:val="24"/>
        </w:rPr>
      </w:pPr>
    </w:p>
    <w:p w14:paraId="62872770" w14:textId="0E399F89" w:rsidR="00495B01" w:rsidRDefault="00495B01" w:rsidP="00210637">
      <w:pPr>
        <w:rPr>
          <w:rFonts w:ascii="Times New Roman" w:hAnsi="Times New Roman"/>
        </w:rPr>
      </w:pPr>
    </w:p>
    <w:p w14:paraId="346FD243" w14:textId="77777777" w:rsidR="00495B01" w:rsidRPr="00B65056" w:rsidRDefault="00495B01" w:rsidP="00210637">
      <w:pPr>
        <w:rPr>
          <w:rFonts w:ascii="Times New Roman" w:hAnsi="Times New Roman" w:cs="Times New Roman"/>
          <w:sz w:val="24"/>
          <w:szCs w:val="24"/>
        </w:rPr>
      </w:pPr>
    </w:p>
    <w:p w14:paraId="67CB23A3" w14:textId="5E38DD05" w:rsidR="00210637" w:rsidRPr="00B65056" w:rsidRDefault="00210637" w:rsidP="003B40C9">
      <w:pPr>
        <w:pStyle w:val="Heading1"/>
      </w:pPr>
      <w:bookmarkStart w:id="1" w:name="_Toc501363538"/>
      <w:r w:rsidRPr="003B40C9">
        <w:lastRenderedPageBreak/>
        <w:t>Consumption</w:t>
      </w:r>
      <w:r w:rsidRPr="00B65056">
        <w:t xml:space="preserve"> Aggregate</w:t>
      </w:r>
      <w:bookmarkEnd w:id="1"/>
    </w:p>
    <w:p w14:paraId="52341E30" w14:textId="11D45815" w:rsidR="00E759C0" w:rsidRPr="00B65056" w:rsidRDefault="004A74DF" w:rsidP="00A90B94">
      <w:pPr>
        <w:ind w:firstLine="576"/>
        <w:jc w:val="both"/>
        <w:rPr>
          <w:rFonts w:ascii="Times New Roman" w:hAnsi="Times New Roman" w:cs="Times New Roman"/>
          <w:sz w:val="24"/>
          <w:szCs w:val="24"/>
        </w:rPr>
      </w:pPr>
      <w:r w:rsidRPr="00B65056">
        <w:rPr>
          <w:rFonts w:ascii="Times New Roman" w:hAnsi="Times New Roman" w:cs="Times New Roman"/>
          <w:sz w:val="24"/>
          <w:szCs w:val="24"/>
        </w:rPr>
        <w:t>While income is generally used in measuring poverty in developed countries, c</w:t>
      </w:r>
      <w:r w:rsidR="00E759C0" w:rsidRPr="00B65056">
        <w:rPr>
          <w:rFonts w:ascii="Times New Roman" w:hAnsi="Times New Roman" w:cs="Times New Roman"/>
          <w:sz w:val="24"/>
          <w:szCs w:val="24"/>
        </w:rPr>
        <w:t>onsumption is preferred to income</w:t>
      </w:r>
      <w:r w:rsidR="00B66BC4" w:rsidRPr="00B65056">
        <w:rPr>
          <w:rFonts w:ascii="Times New Roman" w:hAnsi="Times New Roman" w:cs="Times New Roman"/>
          <w:sz w:val="24"/>
          <w:szCs w:val="24"/>
        </w:rPr>
        <w:t xml:space="preserve"> as welfare measure</w:t>
      </w:r>
      <w:r w:rsidR="00E759C0" w:rsidRPr="00B65056">
        <w:rPr>
          <w:rFonts w:ascii="Times New Roman" w:hAnsi="Times New Roman" w:cs="Times New Roman"/>
          <w:sz w:val="24"/>
          <w:szCs w:val="24"/>
        </w:rPr>
        <w:t xml:space="preserve"> for developing economies</w:t>
      </w:r>
      <w:r w:rsidRPr="00B65056">
        <w:rPr>
          <w:rFonts w:ascii="Times New Roman" w:hAnsi="Times New Roman" w:cs="Times New Roman"/>
          <w:sz w:val="24"/>
          <w:szCs w:val="24"/>
        </w:rPr>
        <w:t xml:space="preserve">. As described in </w:t>
      </w:r>
      <w:r w:rsidRPr="00B65056">
        <w:rPr>
          <w:rFonts w:ascii="Times New Roman" w:hAnsi="Times New Roman" w:cs="Times New Roman"/>
          <w:sz w:val="24"/>
          <w:szCs w:val="24"/>
        </w:rPr>
        <w:fldChar w:fldCharType="begin"/>
      </w:r>
      <w:r w:rsidRPr="00B65056">
        <w:rPr>
          <w:rFonts w:ascii="Times New Roman" w:hAnsi="Times New Roman" w:cs="Times New Roman"/>
          <w:sz w:val="24"/>
          <w:szCs w:val="24"/>
        </w:rPr>
        <w:instrText xml:space="preserve"> ADDIN ZOTERO_ITEM CSL_CITATION {"citationID":"k7D5hLlK","properties":{"formattedCitation":"(World Bank 2015)","plainCitation":"(World Bank 2015)"},"citationItems":[{"id":603,"uris":["http://zotero.org/users/1982691/items/K6ZX3DKS"],"uri":["http://zotero.org/users/1982691/items/K6ZX3DKS"],"itemData":{"id":603,"type":"article","title":"Proposal For Revision Of Consumption Module Of The Standard Living Conditions (SLC) And Household Budgets Survey (HBS)","publisher":"Not published","shortTitle":"Proposal For Revision Of Consumption Module Of The Standard Living Conditions (Slc) And Household Budgets Survey (Hbs)","language":"English","author":[{"family":"World Bank","given":""}],"issued":{"date-parts":[["2015",1]],"season":"undefined"}}}],"schema":"https://github.com/citation-style-language/schema/raw/master/csl-citation.json"} </w:instrText>
      </w:r>
      <w:r w:rsidRPr="00B65056">
        <w:rPr>
          <w:rFonts w:ascii="Times New Roman" w:hAnsi="Times New Roman" w:cs="Times New Roman"/>
          <w:sz w:val="24"/>
          <w:szCs w:val="24"/>
        </w:rPr>
        <w:fldChar w:fldCharType="separate"/>
      </w:r>
      <w:r w:rsidRPr="00B65056">
        <w:rPr>
          <w:rFonts w:ascii="Times New Roman" w:hAnsi="Times New Roman" w:cs="Times New Roman"/>
          <w:sz w:val="24"/>
          <w:szCs w:val="24"/>
        </w:rPr>
        <w:t>World Bank (2015)</w:t>
      </w:r>
      <w:r w:rsidRPr="00B65056">
        <w:rPr>
          <w:rFonts w:ascii="Times New Roman" w:hAnsi="Times New Roman" w:cs="Times New Roman"/>
          <w:sz w:val="24"/>
          <w:szCs w:val="24"/>
        </w:rPr>
        <w:fldChar w:fldCharType="end"/>
      </w:r>
      <w:r w:rsidRPr="00B65056">
        <w:rPr>
          <w:rFonts w:ascii="Times New Roman" w:hAnsi="Times New Roman" w:cs="Times New Roman"/>
          <w:sz w:val="24"/>
          <w:szCs w:val="24"/>
        </w:rPr>
        <w:t xml:space="preserve">, consumption is recommended </w:t>
      </w:r>
      <w:r w:rsidR="00E759C0" w:rsidRPr="00B65056">
        <w:rPr>
          <w:rFonts w:ascii="Times New Roman" w:hAnsi="Times New Roman" w:cs="Times New Roman"/>
          <w:sz w:val="24"/>
          <w:szCs w:val="24"/>
        </w:rPr>
        <w:t>due to the following reasons</w:t>
      </w:r>
      <w:r w:rsidR="00D05658" w:rsidRPr="00B65056">
        <w:rPr>
          <w:rFonts w:ascii="Times New Roman" w:hAnsi="Times New Roman" w:cs="Times New Roman"/>
          <w:sz w:val="24"/>
          <w:szCs w:val="24"/>
        </w:rPr>
        <w:t xml:space="preserve"> </w:t>
      </w:r>
    </w:p>
    <w:p w14:paraId="5AA2F35F" w14:textId="12B0D3CC" w:rsidR="00D05658" w:rsidRPr="00B65056" w:rsidRDefault="00B66BC4" w:rsidP="00E759C0">
      <w:pPr>
        <w:pStyle w:val="ListParagraph"/>
        <w:numPr>
          <w:ilvl w:val="0"/>
          <w:numId w:val="1"/>
        </w:numPr>
        <w:spacing w:line="276" w:lineRule="auto"/>
        <w:rPr>
          <w:rFonts w:ascii="Times New Roman" w:hAnsi="Times New Roman" w:cs="Times New Roman"/>
          <w:sz w:val="24"/>
          <w:szCs w:val="24"/>
        </w:rPr>
      </w:pPr>
      <w:r w:rsidRPr="00B65056">
        <w:rPr>
          <w:rFonts w:ascii="Times New Roman" w:hAnsi="Times New Roman" w:cs="Times New Roman"/>
          <w:sz w:val="24"/>
          <w:szCs w:val="24"/>
        </w:rPr>
        <w:t xml:space="preserve">Consumption data are generally more easily and accurately collected </w:t>
      </w:r>
      <w:r w:rsidR="00701098" w:rsidRPr="00B65056">
        <w:rPr>
          <w:rFonts w:ascii="Times New Roman" w:hAnsi="Times New Roman" w:cs="Times New Roman"/>
          <w:sz w:val="24"/>
          <w:szCs w:val="24"/>
        </w:rPr>
        <w:t xml:space="preserve">than income data </w:t>
      </w:r>
      <w:r w:rsidRPr="00B65056">
        <w:rPr>
          <w:rFonts w:ascii="Times New Roman" w:hAnsi="Times New Roman" w:cs="Times New Roman"/>
          <w:sz w:val="24"/>
          <w:szCs w:val="24"/>
        </w:rPr>
        <w:t>in a developing country context</w:t>
      </w:r>
      <w:r w:rsidR="00701098" w:rsidRPr="00B65056">
        <w:rPr>
          <w:rFonts w:ascii="Times New Roman" w:hAnsi="Times New Roman" w:cs="Times New Roman"/>
          <w:sz w:val="24"/>
          <w:szCs w:val="24"/>
        </w:rPr>
        <w:t>, where</w:t>
      </w:r>
      <w:r w:rsidRPr="00B65056">
        <w:rPr>
          <w:rFonts w:ascii="Times New Roman" w:hAnsi="Times New Roman" w:cs="Times New Roman"/>
          <w:sz w:val="24"/>
          <w:szCs w:val="24"/>
        </w:rPr>
        <w:t xml:space="preserve"> </w:t>
      </w:r>
      <w:r w:rsidR="00701098" w:rsidRPr="00B65056">
        <w:rPr>
          <w:rFonts w:ascii="Times New Roman" w:hAnsi="Times New Roman" w:cs="Times New Roman"/>
          <w:sz w:val="24"/>
          <w:szCs w:val="24"/>
        </w:rPr>
        <w:t>i</w:t>
      </w:r>
      <w:r w:rsidR="004A74DF" w:rsidRPr="00B65056">
        <w:rPr>
          <w:rFonts w:ascii="Times New Roman" w:hAnsi="Times New Roman" w:cs="Times New Roman"/>
          <w:sz w:val="24"/>
          <w:szCs w:val="24"/>
        </w:rPr>
        <w:t>ncome tends to be seriously understated</w:t>
      </w:r>
      <w:r w:rsidR="00701098" w:rsidRPr="00B65056">
        <w:rPr>
          <w:rFonts w:ascii="Times New Roman" w:hAnsi="Times New Roman" w:cs="Times New Roman"/>
          <w:sz w:val="24"/>
          <w:szCs w:val="24"/>
        </w:rPr>
        <w:t>.</w:t>
      </w:r>
    </w:p>
    <w:p w14:paraId="1F173918" w14:textId="2C0D27E7" w:rsidR="00E759C0" w:rsidRPr="00B65056" w:rsidRDefault="00B00E70" w:rsidP="00E759C0">
      <w:pPr>
        <w:pStyle w:val="ListParagraph"/>
        <w:numPr>
          <w:ilvl w:val="0"/>
          <w:numId w:val="1"/>
        </w:numPr>
        <w:spacing w:line="276" w:lineRule="auto"/>
        <w:rPr>
          <w:rFonts w:ascii="Times New Roman" w:hAnsi="Times New Roman" w:cs="Times New Roman"/>
          <w:sz w:val="24"/>
          <w:szCs w:val="24"/>
        </w:rPr>
      </w:pPr>
      <w:r w:rsidRPr="00B65056">
        <w:rPr>
          <w:rFonts w:ascii="Times New Roman" w:hAnsi="Times New Roman" w:cs="Times New Roman"/>
          <w:sz w:val="24"/>
          <w:szCs w:val="24"/>
        </w:rPr>
        <w:t>Consumption</w:t>
      </w:r>
      <w:r w:rsidR="00D05658" w:rsidRPr="00B65056">
        <w:rPr>
          <w:rFonts w:ascii="Times New Roman" w:hAnsi="Times New Roman" w:cs="Times New Roman"/>
          <w:sz w:val="24"/>
          <w:szCs w:val="24"/>
        </w:rPr>
        <w:t xml:space="preserve"> comes closer to measuring </w:t>
      </w:r>
      <w:r w:rsidRPr="00B65056">
        <w:rPr>
          <w:rFonts w:ascii="Times New Roman" w:hAnsi="Times New Roman" w:cs="Times New Roman"/>
          <w:sz w:val="24"/>
          <w:szCs w:val="24"/>
        </w:rPr>
        <w:t>permanent income as it captures the capability of households to save and borrow, and so it provides a smoother measure of living standards.</w:t>
      </w:r>
    </w:p>
    <w:p w14:paraId="0985C9D8" w14:textId="1C479604" w:rsidR="00871F49" w:rsidRPr="00B65056" w:rsidRDefault="00871F49" w:rsidP="00B00E70">
      <w:pPr>
        <w:pStyle w:val="ListParagraph"/>
        <w:numPr>
          <w:ilvl w:val="0"/>
          <w:numId w:val="1"/>
        </w:numPr>
        <w:spacing w:line="276" w:lineRule="auto"/>
        <w:rPr>
          <w:rFonts w:ascii="Times New Roman" w:hAnsi="Times New Roman" w:cs="Times New Roman"/>
          <w:sz w:val="24"/>
          <w:szCs w:val="24"/>
        </w:rPr>
      </w:pPr>
      <w:r w:rsidRPr="00B65056">
        <w:rPr>
          <w:rFonts w:ascii="Times New Roman" w:hAnsi="Times New Roman" w:cs="Times New Roman"/>
          <w:sz w:val="24"/>
          <w:szCs w:val="24"/>
        </w:rPr>
        <w:t>Consumption captures the living standards achieved by individuals as opposed to an opportunity to reach a given welfare level.</w:t>
      </w:r>
    </w:p>
    <w:p w14:paraId="5339DA62" w14:textId="6E540C01" w:rsidR="00717A3C" w:rsidRPr="00B65056" w:rsidRDefault="00D05658" w:rsidP="0002572A">
      <w:pPr>
        <w:ind w:firstLine="576"/>
        <w:jc w:val="both"/>
        <w:rPr>
          <w:rFonts w:ascii="Times New Roman" w:hAnsi="Times New Roman" w:cs="Times New Roman"/>
          <w:sz w:val="24"/>
          <w:szCs w:val="24"/>
        </w:rPr>
      </w:pPr>
      <w:r w:rsidRPr="00B65056">
        <w:rPr>
          <w:rFonts w:ascii="Times New Roman" w:hAnsi="Times New Roman" w:cs="Times New Roman"/>
          <w:sz w:val="24"/>
          <w:szCs w:val="24"/>
        </w:rPr>
        <w:t>Saint Lucia, like other OECS member states use consumption as welfare measure in assessing poverty.</w:t>
      </w:r>
      <w:r w:rsidR="00B00E70" w:rsidRPr="00B65056">
        <w:rPr>
          <w:rFonts w:ascii="Times New Roman" w:hAnsi="Times New Roman" w:cs="Times New Roman"/>
          <w:sz w:val="24"/>
          <w:szCs w:val="24"/>
        </w:rPr>
        <w:t xml:space="preserve"> H</w:t>
      </w:r>
      <w:r w:rsidR="00717A3C" w:rsidRPr="00B65056">
        <w:rPr>
          <w:rFonts w:ascii="Times New Roman" w:hAnsi="Times New Roman" w:cs="Times New Roman"/>
          <w:sz w:val="24"/>
          <w:szCs w:val="24"/>
        </w:rPr>
        <w:t xml:space="preserve">ousehold consumption will be </w:t>
      </w:r>
      <w:r w:rsidR="00B00E70" w:rsidRPr="00B65056">
        <w:rPr>
          <w:rFonts w:ascii="Times New Roman" w:hAnsi="Times New Roman" w:cs="Times New Roman"/>
          <w:sz w:val="24"/>
          <w:szCs w:val="24"/>
        </w:rPr>
        <w:t xml:space="preserve">defined </w:t>
      </w:r>
      <w:r w:rsidR="00717A3C" w:rsidRPr="00B65056">
        <w:rPr>
          <w:rFonts w:ascii="Times New Roman" w:hAnsi="Times New Roman" w:cs="Times New Roman"/>
          <w:sz w:val="24"/>
          <w:szCs w:val="24"/>
        </w:rPr>
        <w:t xml:space="preserve">as the expenditure function that shows the minimum expense that is required to meet certain level of well-being expressed in the same </w:t>
      </w:r>
      <w:r w:rsidR="00B00E70" w:rsidRPr="00B65056">
        <w:rPr>
          <w:rFonts w:ascii="Times New Roman" w:hAnsi="Times New Roman" w:cs="Times New Roman"/>
          <w:sz w:val="24"/>
          <w:szCs w:val="24"/>
        </w:rPr>
        <w:t>unit, i.e.</w:t>
      </w:r>
      <w:r w:rsidR="00717A3C" w:rsidRPr="00B65056">
        <w:rPr>
          <w:rFonts w:ascii="Times New Roman" w:hAnsi="Times New Roman" w:cs="Times New Roman"/>
          <w:sz w:val="24"/>
          <w:szCs w:val="24"/>
        </w:rPr>
        <w:t xml:space="preserve"> monetary expenses</w:t>
      </w:r>
      <w:r w:rsidR="00AD7914" w:rsidRPr="00B65056">
        <w:rPr>
          <w:rFonts w:ascii="Times New Roman" w:hAnsi="Times New Roman" w:cs="Times New Roman"/>
          <w:sz w:val="24"/>
          <w:szCs w:val="24"/>
        </w:rPr>
        <w:t>. The</w:t>
      </w:r>
      <w:r w:rsidR="00717A3C" w:rsidRPr="00B65056">
        <w:rPr>
          <w:rFonts w:ascii="Times New Roman" w:hAnsi="Times New Roman" w:cs="Times New Roman"/>
          <w:sz w:val="24"/>
          <w:szCs w:val="24"/>
        </w:rPr>
        <w:t xml:space="preserve"> consump</w:t>
      </w:r>
      <w:r w:rsidR="00AD7914" w:rsidRPr="00B65056">
        <w:rPr>
          <w:rFonts w:ascii="Times New Roman" w:hAnsi="Times New Roman" w:cs="Times New Roman"/>
          <w:sz w:val="24"/>
          <w:szCs w:val="24"/>
        </w:rPr>
        <w:t>tion aggregate is constructed following</w:t>
      </w:r>
      <w:r w:rsidR="0002572A" w:rsidRPr="00B65056">
        <w:rPr>
          <w:rFonts w:ascii="Times New Roman" w:hAnsi="Times New Roman" w:cs="Times New Roman"/>
          <w:sz w:val="24"/>
          <w:szCs w:val="24"/>
        </w:rPr>
        <w:t xml:space="preserve"> </w:t>
      </w:r>
      <w:commentRangeStart w:id="2"/>
      <w:r w:rsidR="00A55835" w:rsidRPr="00B65056">
        <w:rPr>
          <w:rFonts w:ascii="Times New Roman" w:hAnsi="Times New Roman" w:cs="Times New Roman"/>
          <w:sz w:val="24"/>
          <w:szCs w:val="24"/>
        </w:rPr>
        <w:t>two</w:t>
      </w:r>
      <w:r w:rsidR="00717A3C" w:rsidRPr="00B65056">
        <w:rPr>
          <w:rFonts w:ascii="Times New Roman" w:hAnsi="Times New Roman" w:cs="Times New Roman"/>
          <w:sz w:val="24"/>
          <w:szCs w:val="24"/>
        </w:rPr>
        <w:t xml:space="preserve"> steps</w:t>
      </w:r>
      <w:r w:rsidR="004E516C">
        <w:rPr>
          <w:rFonts w:ascii="Times New Roman" w:hAnsi="Times New Roman" w:cs="Times New Roman"/>
          <w:sz w:val="24"/>
          <w:szCs w:val="24"/>
        </w:rPr>
        <w:t>:</w:t>
      </w:r>
      <w:r w:rsidR="00D02E8A" w:rsidRPr="00B65056">
        <w:rPr>
          <w:rFonts w:ascii="Times New Roman" w:hAnsi="Times New Roman" w:cs="Times New Roman"/>
          <w:sz w:val="24"/>
          <w:szCs w:val="24"/>
        </w:rPr>
        <w:t xml:space="preserve"> </w:t>
      </w:r>
      <w:commentRangeEnd w:id="2"/>
      <w:r w:rsidR="00A55835" w:rsidRPr="00B65056">
        <w:rPr>
          <w:rStyle w:val="CommentReference"/>
          <w:rFonts w:ascii="Times New Roman" w:hAnsi="Times New Roman" w:cs="Times New Roman"/>
          <w:sz w:val="24"/>
          <w:szCs w:val="24"/>
        </w:rPr>
        <w:commentReference w:id="2"/>
      </w:r>
      <w:r w:rsidR="00D02E8A" w:rsidRPr="00B65056">
        <w:rPr>
          <w:rFonts w:ascii="Times New Roman" w:hAnsi="Times New Roman" w:cs="Times New Roman"/>
          <w:sz w:val="24"/>
          <w:szCs w:val="24"/>
        </w:rPr>
        <w:t>i) selecting</w:t>
      </w:r>
      <w:r w:rsidR="00717A3C" w:rsidRPr="00B65056">
        <w:rPr>
          <w:rFonts w:ascii="Times New Roman" w:hAnsi="Times New Roman" w:cs="Times New Roman"/>
          <w:sz w:val="24"/>
          <w:szCs w:val="24"/>
        </w:rPr>
        <w:t xml:space="preserve"> components of the total consumption expenditure</w:t>
      </w:r>
      <w:r w:rsidR="00D02E8A" w:rsidRPr="00B65056">
        <w:rPr>
          <w:rFonts w:ascii="Times New Roman" w:hAnsi="Times New Roman" w:cs="Times New Roman"/>
          <w:sz w:val="24"/>
          <w:szCs w:val="24"/>
        </w:rPr>
        <w:t xml:space="preserve"> such as food consumption, non-food consumption, durables goods, and housing expenditure</w:t>
      </w:r>
      <w:r w:rsidR="00717A3C" w:rsidRPr="00B65056">
        <w:rPr>
          <w:rFonts w:ascii="Times New Roman" w:hAnsi="Times New Roman" w:cs="Times New Roman"/>
          <w:sz w:val="24"/>
          <w:szCs w:val="24"/>
        </w:rPr>
        <w:t xml:space="preserve"> </w:t>
      </w:r>
      <w:r w:rsidR="00D02E8A" w:rsidRPr="00B65056">
        <w:rPr>
          <w:rFonts w:ascii="Times New Roman" w:hAnsi="Times New Roman" w:cs="Times New Roman"/>
          <w:sz w:val="24"/>
          <w:szCs w:val="24"/>
        </w:rPr>
        <w:t>to be</w:t>
      </w:r>
      <w:r w:rsidR="00717A3C" w:rsidRPr="00B65056">
        <w:rPr>
          <w:rFonts w:ascii="Times New Roman" w:hAnsi="Times New Roman" w:cs="Times New Roman"/>
          <w:sz w:val="24"/>
          <w:szCs w:val="24"/>
        </w:rPr>
        <w:t xml:space="preserve"> </w:t>
      </w:r>
      <w:r w:rsidR="00D02E8A" w:rsidRPr="00B65056">
        <w:rPr>
          <w:rFonts w:ascii="Times New Roman" w:hAnsi="Times New Roman" w:cs="Times New Roman"/>
          <w:sz w:val="24"/>
          <w:szCs w:val="24"/>
        </w:rPr>
        <w:t>included in</w:t>
      </w:r>
      <w:r w:rsidR="00717A3C" w:rsidRPr="00B65056">
        <w:rPr>
          <w:rFonts w:ascii="Times New Roman" w:hAnsi="Times New Roman" w:cs="Times New Roman"/>
          <w:sz w:val="24"/>
          <w:szCs w:val="24"/>
        </w:rPr>
        <w:t xml:space="preserve"> the consumption aggregate and how the</w:t>
      </w:r>
      <w:r w:rsidR="00D02E8A" w:rsidRPr="00B65056">
        <w:rPr>
          <w:rFonts w:ascii="Times New Roman" w:hAnsi="Times New Roman" w:cs="Times New Roman"/>
          <w:sz w:val="24"/>
          <w:szCs w:val="24"/>
        </w:rPr>
        <w:t xml:space="preserve">y are included; </w:t>
      </w:r>
      <w:r w:rsidR="00A55835" w:rsidRPr="00B65056">
        <w:rPr>
          <w:rFonts w:ascii="Times New Roman" w:hAnsi="Times New Roman" w:cs="Times New Roman"/>
          <w:sz w:val="24"/>
          <w:szCs w:val="24"/>
        </w:rPr>
        <w:t xml:space="preserve">and </w:t>
      </w:r>
      <w:r w:rsidR="00D02E8A" w:rsidRPr="00B65056">
        <w:rPr>
          <w:rFonts w:ascii="Times New Roman" w:hAnsi="Times New Roman" w:cs="Times New Roman"/>
          <w:sz w:val="24"/>
          <w:szCs w:val="24"/>
        </w:rPr>
        <w:t>ii)</w:t>
      </w:r>
      <w:r w:rsidR="00717A3C" w:rsidRPr="00B65056">
        <w:rPr>
          <w:rFonts w:ascii="Times New Roman" w:hAnsi="Times New Roman" w:cs="Times New Roman"/>
          <w:sz w:val="24"/>
          <w:szCs w:val="24"/>
        </w:rPr>
        <w:t xml:space="preserve"> </w:t>
      </w:r>
      <w:r w:rsidR="00D02E8A" w:rsidRPr="00B65056">
        <w:rPr>
          <w:rFonts w:ascii="Times New Roman" w:hAnsi="Times New Roman" w:cs="Times New Roman"/>
          <w:sz w:val="24"/>
          <w:szCs w:val="24"/>
        </w:rPr>
        <w:t xml:space="preserve">normalizing </w:t>
      </w:r>
      <w:r w:rsidR="00717A3C" w:rsidRPr="00B65056">
        <w:rPr>
          <w:rFonts w:ascii="Times New Roman" w:hAnsi="Times New Roman" w:cs="Times New Roman"/>
          <w:sz w:val="24"/>
          <w:szCs w:val="24"/>
        </w:rPr>
        <w:t xml:space="preserve">within the household </w:t>
      </w:r>
      <w:r w:rsidR="00D02E8A" w:rsidRPr="00B65056">
        <w:rPr>
          <w:rFonts w:ascii="Times New Roman" w:hAnsi="Times New Roman" w:cs="Times New Roman"/>
          <w:sz w:val="24"/>
          <w:szCs w:val="24"/>
        </w:rPr>
        <w:t xml:space="preserve">by an </w:t>
      </w:r>
      <w:r w:rsidR="00717A3C" w:rsidRPr="00B65056">
        <w:rPr>
          <w:rFonts w:ascii="Times New Roman" w:hAnsi="Times New Roman" w:cs="Times New Roman"/>
          <w:sz w:val="24"/>
          <w:szCs w:val="24"/>
        </w:rPr>
        <w:t xml:space="preserve">adult equivalent scale. </w:t>
      </w:r>
    </w:p>
    <w:p w14:paraId="54BB2ADF" w14:textId="77777777" w:rsidR="00500D57" w:rsidRPr="00B65056" w:rsidRDefault="00500D57" w:rsidP="003B40C9">
      <w:pPr>
        <w:pStyle w:val="Heading2"/>
      </w:pPr>
      <w:bookmarkStart w:id="3" w:name="_Ref414001354"/>
      <w:bookmarkStart w:id="4" w:name="_Toc501363539"/>
      <w:r w:rsidRPr="00B65056">
        <w:t xml:space="preserve">Components of </w:t>
      </w:r>
      <w:r w:rsidRPr="003B40C9">
        <w:t>Consumption</w:t>
      </w:r>
      <w:r w:rsidRPr="00B65056">
        <w:t xml:space="preserve"> Aggregate</w:t>
      </w:r>
      <w:bookmarkEnd w:id="3"/>
      <w:bookmarkEnd w:id="4"/>
    </w:p>
    <w:p w14:paraId="49D5FEB3" w14:textId="3658733F" w:rsidR="00AF031B" w:rsidRPr="00B65056" w:rsidRDefault="0002572A" w:rsidP="000D3D07">
      <w:pPr>
        <w:jc w:val="both"/>
        <w:rPr>
          <w:rFonts w:ascii="Times New Roman" w:hAnsi="Times New Roman" w:cs="Times New Roman"/>
          <w:sz w:val="24"/>
          <w:szCs w:val="24"/>
        </w:rPr>
      </w:pPr>
      <w:r w:rsidRPr="00B65056">
        <w:rPr>
          <w:rFonts w:ascii="Times New Roman" w:eastAsia="Calibri" w:hAnsi="Times New Roman" w:cs="Times New Roman"/>
          <w:sz w:val="24"/>
          <w:szCs w:val="24"/>
        </w:rPr>
        <w:t xml:space="preserve">The survey is constructed using the UN system for the classification of individual consumption according to purpose (COICOP). </w:t>
      </w:r>
      <w:r w:rsidR="00B7536F" w:rsidRPr="00B65056">
        <w:rPr>
          <w:rFonts w:ascii="Times New Roman" w:eastAsia="Calibri" w:hAnsi="Times New Roman" w:cs="Times New Roman"/>
          <w:sz w:val="24"/>
          <w:szCs w:val="24"/>
        </w:rPr>
        <w:t>The COICOP codebook covers all aspects of consumption expenditure</w:t>
      </w:r>
      <w:r w:rsidR="00A24547" w:rsidRPr="00B65056">
        <w:rPr>
          <w:rFonts w:ascii="Times New Roman" w:eastAsia="Calibri" w:hAnsi="Times New Roman" w:cs="Times New Roman"/>
          <w:sz w:val="24"/>
          <w:szCs w:val="24"/>
        </w:rPr>
        <w:t>. It</w:t>
      </w:r>
      <w:r w:rsidR="00B7536F" w:rsidRPr="00B65056">
        <w:rPr>
          <w:rFonts w:ascii="Times New Roman" w:eastAsia="Calibri" w:hAnsi="Times New Roman" w:cs="Times New Roman"/>
          <w:sz w:val="24"/>
          <w:szCs w:val="24"/>
        </w:rPr>
        <w:t xml:space="preserve"> </w:t>
      </w:r>
      <w:r w:rsidR="00A24547" w:rsidRPr="00B65056">
        <w:rPr>
          <w:rFonts w:ascii="Times New Roman" w:eastAsia="Calibri" w:hAnsi="Times New Roman" w:cs="Times New Roman"/>
          <w:sz w:val="24"/>
          <w:szCs w:val="24"/>
        </w:rPr>
        <w:t>contains</w:t>
      </w:r>
      <w:r w:rsidR="00B7536F" w:rsidRPr="00B65056">
        <w:rPr>
          <w:rFonts w:ascii="Times New Roman" w:eastAsia="Calibri" w:hAnsi="Times New Roman" w:cs="Times New Roman"/>
          <w:sz w:val="24"/>
          <w:szCs w:val="24"/>
        </w:rPr>
        <w:t xml:space="preserve"> 14 divisions</w:t>
      </w:r>
      <w:r w:rsidR="00A24547" w:rsidRPr="00B65056">
        <w:rPr>
          <w:rFonts w:ascii="Times New Roman" w:eastAsia="Calibri" w:hAnsi="Times New Roman" w:cs="Times New Roman"/>
          <w:sz w:val="24"/>
          <w:szCs w:val="24"/>
        </w:rPr>
        <w:t xml:space="preserve"> of which Divisions 01 to 12 cover consumption expenditure of households</w:t>
      </w:r>
      <w:r w:rsidR="00B7536F" w:rsidRPr="00B65056">
        <w:rPr>
          <w:rFonts w:ascii="Times New Roman" w:eastAsia="Calibri" w:hAnsi="Times New Roman" w:cs="Times New Roman"/>
          <w:sz w:val="24"/>
          <w:szCs w:val="24"/>
        </w:rPr>
        <w:t>.</w:t>
      </w:r>
      <w:r w:rsidR="00A24547" w:rsidRPr="00B65056">
        <w:rPr>
          <w:rStyle w:val="FootnoteReference"/>
          <w:rFonts w:ascii="Times New Roman" w:eastAsia="Calibri" w:hAnsi="Times New Roman" w:cs="Times New Roman"/>
          <w:sz w:val="24"/>
          <w:szCs w:val="24"/>
        </w:rPr>
        <w:footnoteReference w:id="1"/>
      </w:r>
      <w:r w:rsidR="00B7536F" w:rsidRPr="00B65056">
        <w:rPr>
          <w:rFonts w:ascii="Times New Roman" w:hAnsi="Times New Roman" w:cs="Times New Roman"/>
          <w:sz w:val="24"/>
          <w:szCs w:val="24"/>
        </w:rPr>
        <w:t xml:space="preserve"> </w:t>
      </w:r>
      <w:r w:rsidR="00A24547" w:rsidRPr="00B65056">
        <w:rPr>
          <w:rFonts w:ascii="Times New Roman" w:hAnsi="Times New Roman" w:cs="Times New Roman"/>
          <w:sz w:val="24"/>
          <w:szCs w:val="24"/>
        </w:rPr>
        <w:t xml:space="preserve">Items are grouped </w:t>
      </w:r>
      <w:r w:rsidR="000D3D07" w:rsidRPr="00B65056">
        <w:rPr>
          <w:rFonts w:ascii="Times New Roman" w:hAnsi="Times New Roman" w:cs="Times New Roman"/>
          <w:sz w:val="24"/>
          <w:szCs w:val="24"/>
        </w:rPr>
        <w:t xml:space="preserve">into two main components: i) </w:t>
      </w:r>
      <w:r w:rsidR="00331300" w:rsidRPr="00B65056">
        <w:rPr>
          <w:rFonts w:ascii="Times New Roman" w:hAnsi="Times New Roman" w:cs="Times New Roman"/>
          <w:sz w:val="24"/>
          <w:szCs w:val="24"/>
        </w:rPr>
        <w:t>f</w:t>
      </w:r>
      <w:r w:rsidRPr="00B65056">
        <w:rPr>
          <w:rFonts w:ascii="Times New Roman" w:hAnsi="Times New Roman" w:cs="Times New Roman"/>
          <w:sz w:val="24"/>
          <w:szCs w:val="24"/>
        </w:rPr>
        <w:t xml:space="preserve">ood and </w:t>
      </w:r>
      <w:r w:rsidR="00331300" w:rsidRPr="00B65056">
        <w:rPr>
          <w:rFonts w:ascii="Times New Roman" w:hAnsi="Times New Roman" w:cs="Times New Roman"/>
          <w:sz w:val="24"/>
          <w:szCs w:val="24"/>
        </w:rPr>
        <w:t>n</w:t>
      </w:r>
      <w:r w:rsidR="00AF031B" w:rsidRPr="00B65056">
        <w:rPr>
          <w:rFonts w:ascii="Times New Roman" w:hAnsi="Times New Roman" w:cs="Times New Roman"/>
          <w:sz w:val="24"/>
          <w:szCs w:val="24"/>
        </w:rPr>
        <w:t>on-alcoholic beverage</w:t>
      </w:r>
      <w:r w:rsidR="000D3D07" w:rsidRPr="00B65056">
        <w:rPr>
          <w:rFonts w:ascii="Times New Roman" w:hAnsi="Times New Roman" w:cs="Times New Roman"/>
          <w:sz w:val="24"/>
          <w:szCs w:val="24"/>
        </w:rPr>
        <w:t>; and ii) non-food consumption.</w:t>
      </w:r>
    </w:p>
    <w:p w14:paraId="5B113A42" w14:textId="250F5943" w:rsidR="0002572A" w:rsidRPr="00B65056" w:rsidRDefault="00A24547" w:rsidP="00AF031B">
      <w:pPr>
        <w:spacing w:line="276" w:lineRule="auto"/>
        <w:jc w:val="both"/>
        <w:rPr>
          <w:rFonts w:ascii="Times New Roman" w:eastAsia="Calibri" w:hAnsi="Times New Roman" w:cs="Times New Roman"/>
          <w:sz w:val="24"/>
          <w:szCs w:val="24"/>
        </w:rPr>
      </w:pPr>
      <w:r w:rsidRPr="00B65056">
        <w:rPr>
          <w:rFonts w:ascii="Times New Roman" w:hAnsi="Times New Roman" w:cs="Times New Roman"/>
          <w:sz w:val="24"/>
          <w:szCs w:val="24"/>
        </w:rPr>
        <w:t>The construction methodology of each component will be described in this section.</w:t>
      </w:r>
    </w:p>
    <w:p w14:paraId="425A164D" w14:textId="74CCCF00" w:rsidR="00500D57" w:rsidRPr="00B65056" w:rsidRDefault="0002572A" w:rsidP="003B40C9">
      <w:pPr>
        <w:pStyle w:val="Heading3"/>
      </w:pPr>
      <w:bookmarkStart w:id="5" w:name="_Toc501363540"/>
      <w:r w:rsidRPr="00B65056">
        <w:t>Food and Non-alcoholic Beverages</w:t>
      </w:r>
      <w:bookmarkEnd w:id="5"/>
    </w:p>
    <w:p w14:paraId="2A935D0C" w14:textId="4D477978" w:rsidR="00A55835" w:rsidRPr="00C10769" w:rsidRDefault="00B7536F" w:rsidP="003670D3">
      <w:pPr>
        <w:jc w:val="both"/>
        <w:rPr>
          <w:rFonts w:ascii="Times New Roman" w:hAnsi="Times New Roman" w:cs="Times New Roman"/>
          <w:sz w:val="24"/>
          <w:szCs w:val="24"/>
        </w:rPr>
      </w:pPr>
      <w:r w:rsidRPr="00C10769">
        <w:rPr>
          <w:rFonts w:ascii="Times New Roman" w:eastAsia="Calibri" w:hAnsi="Times New Roman" w:cs="Times New Roman"/>
          <w:sz w:val="24"/>
          <w:szCs w:val="24"/>
        </w:rPr>
        <w:t xml:space="preserve">Approximately </w:t>
      </w:r>
      <w:commentRangeStart w:id="6"/>
      <w:r w:rsidRPr="00C10769">
        <w:rPr>
          <w:rFonts w:ascii="Times New Roman" w:eastAsia="Calibri" w:hAnsi="Times New Roman" w:cs="Times New Roman"/>
          <w:sz w:val="24"/>
          <w:szCs w:val="24"/>
        </w:rPr>
        <w:t xml:space="preserve">1,500 </w:t>
      </w:r>
      <w:commentRangeEnd w:id="6"/>
      <w:r w:rsidRPr="00C10769">
        <w:rPr>
          <w:rStyle w:val="CommentReference"/>
          <w:rFonts w:ascii="Times New Roman" w:hAnsi="Times New Roman" w:cs="Times New Roman"/>
          <w:sz w:val="24"/>
          <w:szCs w:val="24"/>
        </w:rPr>
        <w:commentReference w:id="6"/>
      </w:r>
      <w:r w:rsidRPr="00C10769">
        <w:rPr>
          <w:rFonts w:ascii="Times New Roman" w:eastAsia="Calibri" w:hAnsi="Times New Roman" w:cs="Times New Roman"/>
          <w:sz w:val="24"/>
          <w:szCs w:val="24"/>
        </w:rPr>
        <w:t xml:space="preserve">codes </w:t>
      </w:r>
      <w:r w:rsidR="00A24547" w:rsidRPr="00C10769">
        <w:rPr>
          <w:rFonts w:ascii="Times New Roman" w:eastAsia="Calibri" w:hAnsi="Times New Roman" w:cs="Times New Roman"/>
          <w:sz w:val="24"/>
          <w:szCs w:val="24"/>
        </w:rPr>
        <w:t>from</w:t>
      </w:r>
      <w:r w:rsidR="000D3D07" w:rsidRPr="00C10769">
        <w:rPr>
          <w:rFonts w:ascii="Times New Roman" w:eastAsia="Calibri" w:hAnsi="Times New Roman" w:cs="Times New Roman"/>
          <w:sz w:val="24"/>
          <w:szCs w:val="24"/>
        </w:rPr>
        <w:t xml:space="preserve"> COICOP</w:t>
      </w:r>
      <w:r w:rsidR="00A24547" w:rsidRPr="00C10769">
        <w:rPr>
          <w:rFonts w:ascii="Times New Roman" w:eastAsia="Calibri" w:hAnsi="Times New Roman" w:cs="Times New Roman"/>
          <w:sz w:val="24"/>
          <w:szCs w:val="24"/>
        </w:rPr>
        <w:t xml:space="preserve"> Division 01 </w:t>
      </w:r>
      <w:r w:rsidR="00331300" w:rsidRPr="00C10769">
        <w:rPr>
          <w:rFonts w:ascii="Times New Roman" w:eastAsia="Calibri" w:hAnsi="Times New Roman" w:cs="Times New Roman"/>
          <w:sz w:val="24"/>
          <w:szCs w:val="24"/>
        </w:rPr>
        <w:t xml:space="preserve">are </w:t>
      </w:r>
      <w:r w:rsidRPr="00C10769">
        <w:rPr>
          <w:rFonts w:ascii="Times New Roman" w:eastAsia="Calibri" w:hAnsi="Times New Roman" w:cs="Times New Roman"/>
          <w:sz w:val="24"/>
          <w:szCs w:val="24"/>
        </w:rPr>
        <w:t>used to code the data</w:t>
      </w:r>
      <w:r w:rsidR="00BE71D9" w:rsidRPr="00C10769">
        <w:rPr>
          <w:rFonts w:ascii="Times New Roman" w:eastAsia="Calibri" w:hAnsi="Times New Roman" w:cs="Times New Roman"/>
          <w:sz w:val="24"/>
          <w:szCs w:val="24"/>
        </w:rPr>
        <w:t xml:space="preserve"> of food consumption </w:t>
      </w:r>
      <w:r w:rsidRPr="00C10769">
        <w:rPr>
          <w:rFonts w:ascii="Times New Roman" w:eastAsia="Calibri" w:hAnsi="Times New Roman" w:cs="Times New Roman"/>
          <w:sz w:val="24"/>
          <w:szCs w:val="24"/>
        </w:rPr>
        <w:t xml:space="preserve">collected </w:t>
      </w:r>
      <w:r w:rsidR="00BE71D9" w:rsidRPr="00C10769">
        <w:rPr>
          <w:rFonts w:ascii="Times New Roman" w:eastAsia="Calibri" w:hAnsi="Times New Roman" w:cs="Times New Roman"/>
          <w:sz w:val="24"/>
          <w:szCs w:val="24"/>
        </w:rPr>
        <w:t xml:space="preserve">from the survey. </w:t>
      </w:r>
      <w:r w:rsidR="00331300" w:rsidRPr="00C10769">
        <w:rPr>
          <w:rFonts w:ascii="Times New Roman" w:hAnsi="Times New Roman" w:cs="Times New Roman"/>
          <w:sz w:val="24"/>
          <w:szCs w:val="24"/>
        </w:rPr>
        <w:t>This</w:t>
      </w:r>
      <w:r w:rsidR="00A55835" w:rsidRPr="00C10769">
        <w:rPr>
          <w:rFonts w:ascii="Times New Roman" w:hAnsi="Times New Roman" w:cs="Times New Roman"/>
          <w:sz w:val="24"/>
          <w:szCs w:val="24"/>
        </w:rPr>
        <w:t xml:space="preserve"> consumption component contains four basic subcomponents. i) </w:t>
      </w:r>
      <w:r w:rsidR="00331300" w:rsidRPr="00C10769">
        <w:rPr>
          <w:rFonts w:ascii="Times New Roman" w:hAnsi="Times New Roman" w:cs="Times New Roman"/>
          <w:sz w:val="24"/>
          <w:szCs w:val="24"/>
        </w:rPr>
        <w:t xml:space="preserve">food purchased; ii) food consumed away from home; </w:t>
      </w:r>
      <w:r w:rsidR="00A55835" w:rsidRPr="00C10769">
        <w:rPr>
          <w:rFonts w:ascii="Times New Roman" w:hAnsi="Times New Roman" w:cs="Times New Roman"/>
          <w:sz w:val="24"/>
          <w:szCs w:val="24"/>
        </w:rPr>
        <w:t>ii</w:t>
      </w:r>
      <w:r w:rsidR="00331300" w:rsidRPr="00C10769">
        <w:rPr>
          <w:rFonts w:ascii="Times New Roman" w:hAnsi="Times New Roman" w:cs="Times New Roman"/>
          <w:sz w:val="24"/>
          <w:szCs w:val="24"/>
        </w:rPr>
        <w:t>i) home-</w:t>
      </w:r>
      <w:r w:rsidR="000D3D07" w:rsidRPr="00C10769">
        <w:rPr>
          <w:rFonts w:ascii="Times New Roman" w:hAnsi="Times New Roman" w:cs="Times New Roman"/>
          <w:sz w:val="24"/>
          <w:szCs w:val="24"/>
        </w:rPr>
        <w:t>grown</w:t>
      </w:r>
      <w:r w:rsidR="00331300" w:rsidRPr="00C10769">
        <w:rPr>
          <w:rFonts w:ascii="Times New Roman" w:hAnsi="Times New Roman" w:cs="Times New Roman"/>
          <w:sz w:val="24"/>
          <w:szCs w:val="24"/>
        </w:rPr>
        <w:t xml:space="preserve"> food; and iv</w:t>
      </w:r>
      <w:r w:rsidR="00A55835" w:rsidRPr="00C10769">
        <w:rPr>
          <w:rFonts w:ascii="Times New Roman" w:hAnsi="Times New Roman" w:cs="Times New Roman"/>
          <w:sz w:val="24"/>
          <w:szCs w:val="24"/>
        </w:rPr>
        <w:t>) food received as gifts</w:t>
      </w:r>
      <w:r w:rsidR="000D3D07" w:rsidRPr="00C10769">
        <w:rPr>
          <w:rFonts w:ascii="Times New Roman" w:hAnsi="Times New Roman" w:cs="Times New Roman"/>
          <w:sz w:val="24"/>
          <w:szCs w:val="24"/>
        </w:rPr>
        <w:t xml:space="preserve"> or food aid</w:t>
      </w:r>
      <w:r w:rsidR="00331300" w:rsidRPr="00C10769">
        <w:rPr>
          <w:rFonts w:ascii="Times New Roman" w:hAnsi="Times New Roman" w:cs="Times New Roman"/>
          <w:sz w:val="24"/>
          <w:szCs w:val="24"/>
        </w:rPr>
        <w:t>.</w:t>
      </w:r>
      <w:r w:rsidR="00A55835" w:rsidRPr="00C10769">
        <w:rPr>
          <w:rFonts w:ascii="Times New Roman" w:hAnsi="Times New Roman" w:cs="Times New Roman"/>
          <w:sz w:val="24"/>
          <w:szCs w:val="24"/>
        </w:rPr>
        <w:t xml:space="preserve"> </w:t>
      </w:r>
    </w:p>
    <w:p w14:paraId="57325A4A" w14:textId="6250FB99" w:rsidR="00331300" w:rsidRPr="00B65056" w:rsidRDefault="00BE71D9" w:rsidP="003670D3">
      <w:pPr>
        <w:spacing w:line="276" w:lineRule="auto"/>
        <w:jc w:val="both"/>
        <w:rPr>
          <w:rFonts w:ascii="Times New Roman" w:eastAsia="Times New Roman" w:hAnsi="Times New Roman" w:cs="Times New Roman"/>
          <w:sz w:val="24"/>
          <w:szCs w:val="24"/>
        </w:rPr>
      </w:pPr>
      <w:r w:rsidRPr="00C10769">
        <w:rPr>
          <w:rFonts w:ascii="Times New Roman" w:eastAsia="Times New Roman" w:hAnsi="Times New Roman" w:cs="Times New Roman"/>
          <w:sz w:val="24"/>
          <w:szCs w:val="24"/>
        </w:rPr>
        <w:t>In the 2016 SLC/HBS, t</w:t>
      </w:r>
      <w:r w:rsidR="00331300" w:rsidRPr="00C10769">
        <w:rPr>
          <w:rFonts w:ascii="Times New Roman" w:eastAsia="Calibri" w:hAnsi="Times New Roman" w:cs="Times New Roman"/>
          <w:sz w:val="24"/>
          <w:szCs w:val="24"/>
        </w:rPr>
        <w:t xml:space="preserve">he values for food consumption is based on </w:t>
      </w:r>
      <w:r w:rsidRPr="00C10769">
        <w:rPr>
          <w:rFonts w:ascii="Times New Roman" w:eastAsia="Times New Roman" w:hAnsi="Times New Roman" w:cs="Times New Roman"/>
          <w:sz w:val="24"/>
          <w:szCs w:val="24"/>
        </w:rPr>
        <w:t>a food section in a recall questionnaire which includes a direct question about the amount of food which was consumed away from home.</w:t>
      </w:r>
      <w:r w:rsidR="00331300" w:rsidRPr="00C10769">
        <w:rPr>
          <w:rFonts w:ascii="Times New Roman" w:eastAsia="Calibri" w:hAnsi="Times New Roman" w:cs="Times New Roman"/>
          <w:sz w:val="24"/>
          <w:szCs w:val="24"/>
        </w:rPr>
        <w:t xml:space="preserve"> </w:t>
      </w:r>
      <w:r w:rsidRPr="00C10769">
        <w:rPr>
          <w:rFonts w:ascii="Times New Roman" w:eastAsia="Calibri" w:hAnsi="Times New Roman" w:cs="Times New Roman"/>
          <w:sz w:val="24"/>
          <w:szCs w:val="24"/>
        </w:rPr>
        <w:t>The household spenders reported the quantity and total value of all purchases made of all items, including a full description of the item purchased, its weight and the brand of</w:t>
      </w:r>
      <w:r w:rsidRPr="00B65056">
        <w:rPr>
          <w:rFonts w:ascii="Times New Roman" w:eastAsia="Calibri" w:hAnsi="Times New Roman" w:cs="Times New Roman"/>
          <w:sz w:val="24"/>
          <w:szCs w:val="24"/>
        </w:rPr>
        <w:t xml:space="preserve"> </w:t>
      </w:r>
      <w:r w:rsidRPr="00B65056">
        <w:rPr>
          <w:rFonts w:ascii="Times New Roman" w:eastAsia="Calibri" w:hAnsi="Times New Roman" w:cs="Times New Roman"/>
          <w:sz w:val="24"/>
          <w:szCs w:val="24"/>
        </w:rPr>
        <w:lastRenderedPageBreak/>
        <w:t>the product purchased. The</w:t>
      </w:r>
      <w:r w:rsidR="00331300" w:rsidRPr="00B65056">
        <w:rPr>
          <w:rFonts w:ascii="Times New Roman" w:eastAsia="Calibri" w:hAnsi="Times New Roman" w:cs="Times New Roman"/>
          <w:sz w:val="24"/>
          <w:szCs w:val="24"/>
        </w:rPr>
        <w:t xml:space="preserve"> </w:t>
      </w:r>
      <w:r w:rsidR="00331300" w:rsidRPr="00B65056">
        <w:rPr>
          <w:rFonts w:ascii="Times New Roman" w:hAnsi="Times New Roman" w:cs="Times New Roman"/>
          <w:sz w:val="24"/>
          <w:szCs w:val="24"/>
        </w:rPr>
        <w:t>estimated value of home-grown food consumed by the household</w:t>
      </w:r>
      <w:r w:rsidR="00331300" w:rsidRPr="00B65056">
        <w:rPr>
          <w:rFonts w:ascii="Times New Roman" w:eastAsia="Calibri" w:hAnsi="Times New Roman" w:cs="Times New Roman"/>
          <w:sz w:val="24"/>
          <w:szCs w:val="24"/>
        </w:rPr>
        <w:t xml:space="preserve"> is </w:t>
      </w:r>
      <w:r w:rsidRPr="00B65056">
        <w:rPr>
          <w:rFonts w:ascii="Times New Roman" w:eastAsia="Calibri" w:hAnsi="Times New Roman" w:cs="Times New Roman"/>
          <w:sz w:val="24"/>
          <w:szCs w:val="24"/>
        </w:rPr>
        <w:t xml:space="preserve">also </w:t>
      </w:r>
      <w:r w:rsidR="00331300" w:rsidRPr="00B65056">
        <w:rPr>
          <w:rFonts w:ascii="Times New Roman" w:eastAsia="Calibri" w:hAnsi="Times New Roman" w:cs="Times New Roman"/>
          <w:sz w:val="24"/>
          <w:szCs w:val="24"/>
        </w:rPr>
        <w:t xml:space="preserve">based on recall. </w:t>
      </w:r>
    </w:p>
    <w:p w14:paraId="68042C83" w14:textId="10A799B1" w:rsidR="000D3D07" w:rsidRPr="00B65056" w:rsidRDefault="000D3D07" w:rsidP="003670D3">
      <w:pPr>
        <w:spacing w:line="276" w:lineRule="auto"/>
        <w:jc w:val="both"/>
        <w:rPr>
          <w:rFonts w:ascii="Times New Roman" w:hAnsi="Times New Roman" w:cs="Times New Roman"/>
          <w:sz w:val="24"/>
          <w:szCs w:val="24"/>
        </w:rPr>
      </w:pPr>
      <w:r w:rsidRPr="00B65056">
        <w:rPr>
          <w:rFonts w:ascii="Times New Roman" w:eastAsia="Calibri" w:hAnsi="Times New Roman" w:cs="Times New Roman"/>
          <w:sz w:val="24"/>
          <w:szCs w:val="24"/>
        </w:rPr>
        <w:t>Food price data – to be added.</w:t>
      </w:r>
    </w:p>
    <w:p w14:paraId="4683FD8E" w14:textId="25BB614E" w:rsidR="00210637" w:rsidRPr="00B65056" w:rsidRDefault="00AF031B" w:rsidP="003B40C9">
      <w:pPr>
        <w:pStyle w:val="Heading3"/>
      </w:pPr>
      <w:bookmarkStart w:id="7" w:name="_Toc501363541"/>
      <w:r w:rsidRPr="00B65056">
        <w:t>Non-</w:t>
      </w:r>
      <w:r w:rsidRPr="003B40C9">
        <w:t>food</w:t>
      </w:r>
      <w:r w:rsidRPr="00B65056">
        <w:t xml:space="preserve"> </w:t>
      </w:r>
      <w:r w:rsidR="000D3D07" w:rsidRPr="00B65056">
        <w:t>Items</w:t>
      </w:r>
      <w:bookmarkEnd w:id="7"/>
    </w:p>
    <w:p w14:paraId="2090A469" w14:textId="19897106" w:rsidR="000D3D07" w:rsidRPr="00C10769" w:rsidRDefault="000D3D07" w:rsidP="000D3D07">
      <w:pPr>
        <w:jc w:val="both"/>
        <w:rPr>
          <w:rFonts w:ascii="Times New Roman" w:eastAsia="Calibri" w:hAnsi="Times New Roman" w:cs="Times New Roman"/>
          <w:sz w:val="24"/>
          <w:szCs w:val="24"/>
        </w:rPr>
      </w:pPr>
      <w:r w:rsidRPr="00C10769">
        <w:rPr>
          <w:rFonts w:ascii="Times New Roman" w:hAnsi="Times New Roman" w:cs="Times New Roman"/>
          <w:sz w:val="24"/>
          <w:szCs w:val="24"/>
        </w:rPr>
        <w:t xml:space="preserve">This consumption component contains three basic subcomponents which cover </w:t>
      </w:r>
      <w:r w:rsidRPr="00C10769">
        <w:rPr>
          <w:rFonts w:ascii="Times New Roman" w:eastAsia="Calibri" w:hAnsi="Times New Roman" w:cs="Times New Roman"/>
          <w:sz w:val="24"/>
          <w:szCs w:val="24"/>
        </w:rPr>
        <w:t>COICOP Division 02-12: i) durable</w:t>
      </w:r>
      <w:r w:rsidR="006216F9" w:rsidRPr="00C10769">
        <w:rPr>
          <w:rFonts w:ascii="Times New Roman" w:eastAsia="Calibri" w:hAnsi="Times New Roman" w:cs="Times New Roman"/>
          <w:sz w:val="24"/>
          <w:szCs w:val="24"/>
        </w:rPr>
        <w:t>s</w:t>
      </w:r>
      <w:r w:rsidRPr="00C10769">
        <w:rPr>
          <w:rFonts w:ascii="Times New Roman" w:eastAsia="Calibri" w:hAnsi="Times New Roman" w:cs="Times New Roman"/>
          <w:sz w:val="24"/>
          <w:szCs w:val="24"/>
        </w:rPr>
        <w:t xml:space="preserve"> and semi-durables; ii) services; and iii) housing.</w:t>
      </w:r>
    </w:p>
    <w:p w14:paraId="48C1B2CB" w14:textId="635B6B1A" w:rsidR="006216F9" w:rsidRPr="00C10769" w:rsidRDefault="00ED3291" w:rsidP="000D3D07">
      <w:pPr>
        <w:jc w:val="both"/>
        <w:rPr>
          <w:rFonts w:ascii="Times New Roman" w:eastAsia="Calibri" w:hAnsi="Times New Roman" w:cs="Times New Roman"/>
          <w:sz w:val="24"/>
          <w:szCs w:val="24"/>
        </w:rPr>
      </w:pPr>
      <w:r w:rsidRPr="00C10769">
        <w:rPr>
          <w:rFonts w:ascii="Times New Roman" w:eastAsia="Calibri" w:hAnsi="Times New Roman" w:cs="Times New Roman"/>
          <w:i/>
          <w:iCs/>
          <w:sz w:val="24"/>
          <w:szCs w:val="24"/>
        </w:rPr>
        <w:t>Durable and semi-durable goods</w:t>
      </w:r>
      <w:r w:rsidR="00802453" w:rsidRPr="00C10769">
        <w:rPr>
          <w:rFonts w:ascii="Times New Roman" w:eastAsia="Calibri" w:hAnsi="Times New Roman" w:cs="Times New Roman"/>
          <w:sz w:val="24"/>
          <w:szCs w:val="24"/>
        </w:rPr>
        <w:t>. T</w:t>
      </w:r>
      <w:r w:rsidRPr="00C10769">
        <w:rPr>
          <w:rFonts w:ascii="Times New Roman" w:eastAsia="Calibri" w:hAnsi="Times New Roman" w:cs="Times New Roman"/>
          <w:sz w:val="24"/>
          <w:szCs w:val="24"/>
        </w:rPr>
        <w:t>otal expenditure is derived by aggregation of several sections of the household and person questionn</w:t>
      </w:r>
      <w:r w:rsidR="005E1ECD" w:rsidRPr="00C10769">
        <w:rPr>
          <w:rFonts w:ascii="Times New Roman" w:eastAsia="Calibri" w:hAnsi="Times New Roman" w:cs="Times New Roman"/>
          <w:sz w:val="24"/>
          <w:szCs w:val="24"/>
        </w:rPr>
        <w:t>aires including:</w:t>
      </w:r>
    </w:p>
    <w:p w14:paraId="5AC4B948" w14:textId="0E4CEC70" w:rsidR="00ED3291" w:rsidRPr="00C10769" w:rsidRDefault="00ED3291" w:rsidP="00CD2B6C">
      <w:pPr>
        <w:pStyle w:val="ListParagraph"/>
        <w:numPr>
          <w:ilvl w:val="0"/>
          <w:numId w:val="3"/>
        </w:numPr>
        <w:jc w:val="both"/>
        <w:rPr>
          <w:rFonts w:ascii="Times New Roman" w:eastAsia="Calibri" w:hAnsi="Times New Roman" w:cs="Times New Roman"/>
          <w:sz w:val="24"/>
          <w:szCs w:val="24"/>
        </w:rPr>
      </w:pPr>
      <w:r w:rsidRPr="00C10769">
        <w:rPr>
          <w:rFonts w:ascii="Times New Roman" w:eastAsia="Calibri" w:hAnsi="Times New Roman" w:cs="Times New Roman"/>
          <w:sz w:val="24"/>
          <w:szCs w:val="24"/>
        </w:rPr>
        <w:t>annual expenditure on materials used for routine household repair and maintenance</w:t>
      </w:r>
      <w:r w:rsidR="000B1576" w:rsidRPr="00C10769">
        <w:rPr>
          <w:rFonts w:ascii="Times New Roman" w:eastAsia="Calibri" w:hAnsi="Times New Roman" w:cs="Times New Roman"/>
          <w:sz w:val="24"/>
          <w:szCs w:val="24"/>
        </w:rPr>
        <w:t>, accounted for depreciation</w:t>
      </w:r>
    </w:p>
    <w:p w14:paraId="6286D3E9" w14:textId="38174B32" w:rsidR="00ED3291" w:rsidRPr="00C10769" w:rsidRDefault="00ED3291" w:rsidP="00CD2B6C">
      <w:pPr>
        <w:pStyle w:val="ListParagraph"/>
        <w:numPr>
          <w:ilvl w:val="0"/>
          <w:numId w:val="3"/>
        </w:numPr>
        <w:jc w:val="both"/>
        <w:rPr>
          <w:rFonts w:ascii="Times New Roman" w:eastAsia="Calibri" w:hAnsi="Times New Roman" w:cs="Times New Roman"/>
          <w:sz w:val="24"/>
          <w:szCs w:val="24"/>
        </w:rPr>
      </w:pPr>
      <w:r w:rsidRPr="00C10769">
        <w:rPr>
          <w:rFonts w:ascii="Times New Roman" w:eastAsia="Calibri" w:hAnsi="Times New Roman" w:cs="Times New Roman"/>
          <w:sz w:val="24"/>
          <w:szCs w:val="24"/>
        </w:rPr>
        <w:t>furniture, furnishings and household equipment acquired by the household during the one year reference period</w:t>
      </w:r>
      <w:r w:rsidR="000B1576" w:rsidRPr="00C10769">
        <w:rPr>
          <w:rFonts w:ascii="Times New Roman" w:eastAsia="Calibri" w:hAnsi="Times New Roman" w:cs="Times New Roman"/>
          <w:sz w:val="24"/>
          <w:szCs w:val="24"/>
        </w:rPr>
        <w:t>,</w:t>
      </w:r>
      <w:r w:rsidR="005E1ECD" w:rsidRPr="00C10769">
        <w:rPr>
          <w:rFonts w:ascii="Times New Roman" w:eastAsia="Calibri" w:hAnsi="Times New Roman" w:cs="Times New Roman"/>
          <w:sz w:val="24"/>
          <w:szCs w:val="24"/>
        </w:rPr>
        <w:t xml:space="preserve"> accounted for depreciation</w:t>
      </w:r>
    </w:p>
    <w:p w14:paraId="22F6FDE7" w14:textId="77777777" w:rsidR="008E4773" w:rsidRPr="00C10769" w:rsidRDefault="000F736F" w:rsidP="00CD2B6C">
      <w:pPr>
        <w:pStyle w:val="ListParagraph"/>
        <w:numPr>
          <w:ilvl w:val="0"/>
          <w:numId w:val="3"/>
        </w:numPr>
        <w:jc w:val="both"/>
        <w:rPr>
          <w:rFonts w:ascii="Times New Roman" w:eastAsia="Calibri" w:hAnsi="Times New Roman" w:cs="Times New Roman"/>
          <w:sz w:val="24"/>
          <w:szCs w:val="24"/>
        </w:rPr>
      </w:pPr>
      <w:r w:rsidRPr="00C10769">
        <w:rPr>
          <w:rFonts w:ascii="Times New Roman" w:eastAsia="Calibri" w:hAnsi="Times New Roman" w:cs="Times New Roman"/>
          <w:sz w:val="24"/>
          <w:szCs w:val="24"/>
        </w:rPr>
        <w:t xml:space="preserve">annualized </w:t>
      </w:r>
      <w:r w:rsidR="00ED3291" w:rsidRPr="00C10769">
        <w:rPr>
          <w:rFonts w:ascii="Times New Roman" w:eastAsia="Calibri" w:hAnsi="Times New Roman" w:cs="Times New Roman"/>
          <w:sz w:val="24"/>
          <w:szCs w:val="24"/>
        </w:rPr>
        <w:t>expenditure on transportation specific to the operation of vehicles, this includes the purchase of batteries, gasoline etc</w:t>
      </w:r>
      <w:r w:rsidRPr="00C10769">
        <w:rPr>
          <w:rFonts w:ascii="Times New Roman" w:eastAsia="Calibri" w:hAnsi="Times New Roman" w:cs="Times New Roman"/>
          <w:sz w:val="24"/>
          <w:szCs w:val="24"/>
        </w:rPr>
        <w:t>.</w:t>
      </w:r>
      <w:r w:rsidR="00ED3291" w:rsidRPr="00C10769">
        <w:rPr>
          <w:rFonts w:ascii="Times New Roman" w:eastAsia="Calibri" w:hAnsi="Times New Roman" w:cs="Times New Roman"/>
          <w:sz w:val="24"/>
          <w:szCs w:val="24"/>
        </w:rPr>
        <w:t xml:space="preserve"> </w:t>
      </w:r>
    </w:p>
    <w:p w14:paraId="32D6ED4A" w14:textId="45360C64" w:rsidR="00ED3291" w:rsidRPr="00C10769" w:rsidRDefault="008E4773" w:rsidP="00CD2B6C">
      <w:pPr>
        <w:pStyle w:val="ListParagraph"/>
        <w:numPr>
          <w:ilvl w:val="0"/>
          <w:numId w:val="3"/>
        </w:numPr>
        <w:jc w:val="both"/>
        <w:rPr>
          <w:rFonts w:ascii="Times New Roman" w:eastAsia="Calibri" w:hAnsi="Times New Roman" w:cs="Times New Roman"/>
          <w:sz w:val="24"/>
          <w:szCs w:val="24"/>
        </w:rPr>
      </w:pPr>
      <w:r w:rsidRPr="00C10769">
        <w:rPr>
          <w:rFonts w:ascii="Times New Roman" w:eastAsia="Calibri" w:hAnsi="Times New Roman" w:cs="Times New Roman"/>
          <w:sz w:val="24"/>
          <w:szCs w:val="24"/>
        </w:rPr>
        <w:t xml:space="preserve">annualized expenditure on </w:t>
      </w:r>
      <w:r w:rsidR="00ED3291" w:rsidRPr="00C10769">
        <w:rPr>
          <w:rFonts w:ascii="Times New Roman" w:eastAsia="Calibri" w:hAnsi="Times New Roman" w:cs="Times New Roman"/>
          <w:sz w:val="24"/>
          <w:szCs w:val="24"/>
        </w:rPr>
        <w:t>clothing and footwear</w:t>
      </w:r>
      <w:r w:rsidR="008820FF" w:rsidRPr="00C10769">
        <w:rPr>
          <w:rFonts w:ascii="Times New Roman" w:eastAsia="Calibri" w:hAnsi="Times New Roman" w:cs="Times New Roman"/>
          <w:sz w:val="24"/>
          <w:szCs w:val="24"/>
        </w:rPr>
        <w:t>.</w:t>
      </w:r>
    </w:p>
    <w:p w14:paraId="24F9123C" w14:textId="2862804C" w:rsidR="00B356AE" w:rsidRPr="00C10769" w:rsidRDefault="008820FF" w:rsidP="008820FF">
      <w:pPr>
        <w:jc w:val="both"/>
        <w:rPr>
          <w:rFonts w:ascii="Times New Roman" w:eastAsia="Calibri" w:hAnsi="Times New Roman" w:cs="Times New Roman"/>
          <w:sz w:val="24"/>
          <w:szCs w:val="24"/>
        </w:rPr>
      </w:pPr>
      <w:r w:rsidRPr="00C10769">
        <w:rPr>
          <w:rFonts w:ascii="Times New Roman" w:eastAsia="Calibri" w:hAnsi="Times New Roman" w:cs="Times New Roman"/>
          <w:i/>
          <w:iCs/>
          <w:sz w:val="24"/>
          <w:szCs w:val="24"/>
        </w:rPr>
        <w:t>Services</w:t>
      </w:r>
      <w:r w:rsidR="00802453" w:rsidRPr="00C10769">
        <w:rPr>
          <w:rFonts w:ascii="Times New Roman" w:eastAsia="Calibri" w:hAnsi="Times New Roman" w:cs="Times New Roman"/>
          <w:i/>
          <w:iCs/>
          <w:sz w:val="24"/>
          <w:szCs w:val="24"/>
        </w:rPr>
        <w:t>.</w:t>
      </w:r>
      <w:r w:rsidR="00B356AE" w:rsidRPr="00C10769">
        <w:rPr>
          <w:rFonts w:ascii="Times New Roman" w:eastAsia="Calibri" w:hAnsi="Times New Roman" w:cs="Times New Roman"/>
          <w:i/>
          <w:iCs/>
          <w:sz w:val="24"/>
          <w:szCs w:val="24"/>
        </w:rPr>
        <w:t xml:space="preserve"> </w:t>
      </w:r>
      <w:r w:rsidR="00802453" w:rsidRPr="00C10769">
        <w:rPr>
          <w:rFonts w:ascii="Times New Roman" w:eastAsia="Calibri" w:hAnsi="Times New Roman" w:cs="Times New Roman"/>
          <w:sz w:val="24"/>
          <w:szCs w:val="24"/>
        </w:rPr>
        <w:t>T</w:t>
      </w:r>
      <w:r w:rsidR="00B356AE" w:rsidRPr="00C10769">
        <w:rPr>
          <w:rFonts w:ascii="Times New Roman" w:eastAsia="Calibri" w:hAnsi="Times New Roman" w:cs="Times New Roman"/>
          <w:sz w:val="24"/>
          <w:szCs w:val="24"/>
        </w:rPr>
        <w:t>otal expenditure is derived by aggregation of several sections of the household and person questionnaires including:</w:t>
      </w:r>
    </w:p>
    <w:p w14:paraId="6CFC1D16" w14:textId="3E21AA8E" w:rsidR="00802453" w:rsidRPr="00C10769" w:rsidRDefault="00802453" w:rsidP="00CD2B6C">
      <w:pPr>
        <w:pStyle w:val="ListParagraph"/>
        <w:numPr>
          <w:ilvl w:val="0"/>
          <w:numId w:val="3"/>
        </w:numPr>
        <w:jc w:val="both"/>
        <w:rPr>
          <w:rFonts w:ascii="Times New Roman" w:eastAsia="Calibri" w:hAnsi="Times New Roman" w:cs="Times New Roman"/>
          <w:sz w:val="24"/>
          <w:szCs w:val="24"/>
        </w:rPr>
      </w:pPr>
      <w:r w:rsidRPr="00C10769">
        <w:rPr>
          <w:rFonts w:ascii="Times New Roman" w:eastAsia="Calibri" w:hAnsi="Times New Roman" w:cs="Times New Roman"/>
          <w:sz w:val="24"/>
          <w:szCs w:val="24"/>
        </w:rPr>
        <w:t xml:space="preserve">annualized expenditure on </w:t>
      </w:r>
      <w:r w:rsidR="000B1576" w:rsidRPr="00C10769">
        <w:rPr>
          <w:rFonts w:ascii="Times New Roman" w:eastAsia="Calibri" w:hAnsi="Times New Roman" w:cs="Times New Roman"/>
          <w:sz w:val="24"/>
          <w:szCs w:val="24"/>
        </w:rPr>
        <w:t xml:space="preserve">labor </w:t>
      </w:r>
      <w:r w:rsidRPr="00C10769">
        <w:rPr>
          <w:rFonts w:ascii="Times New Roman" w:eastAsia="Calibri" w:hAnsi="Times New Roman" w:cs="Times New Roman"/>
          <w:sz w:val="24"/>
          <w:szCs w:val="24"/>
        </w:rPr>
        <w:t>services related to housing and routine maintenance of the dwelling unit</w:t>
      </w:r>
    </w:p>
    <w:p w14:paraId="6197C82E" w14:textId="6FD1D98F" w:rsidR="00802453" w:rsidRPr="00C10769" w:rsidRDefault="00802453" w:rsidP="00CD2B6C">
      <w:pPr>
        <w:pStyle w:val="ListParagraph"/>
        <w:numPr>
          <w:ilvl w:val="0"/>
          <w:numId w:val="3"/>
        </w:numPr>
        <w:jc w:val="both"/>
        <w:rPr>
          <w:rFonts w:ascii="Times New Roman" w:eastAsia="Calibri" w:hAnsi="Times New Roman" w:cs="Times New Roman"/>
          <w:sz w:val="24"/>
          <w:szCs w:val="24"/>
        </w:rPr>
      </w:pPr>
      <w:r w:rsidRPr="00C10769">
        <w:rPr>
          <w:rFonts w:ascii="Times New Roman" w:eastAsia="Calibri" w:hAnsi="Times New Roman" w:cs="Times New Roman"/>
          <w:sz w:val="24"/>
          <w:szCs w:val="24"/>
        </w:rPr>
        <w:t>annualized expenditure billed on electricity, water and utilities, babysitting, maid, gardener, etc.</w:t>
      </w:r>
    </w:p>
    <w:p w14:paraId="609444B9" w14:textId="3F8F8BE5" w:rsidR="00291D65" w:rsidRPr="00C10769" w:rsidRDefault="00291D65" w:rsidP="00CD2B6C">
      <w:pPr>
        <w:pStyle w:val="ListParagraph"/>
        <w:numPr>
          <w:ilvl w:val="0"/>
          <w:numId w:val="3"/>
        </w:numPr>
        <w:jc w:val="both"/>
        <w:rPr>
          <w:rFonts w:ascii="Times New Roman" w:eastAsia="Calibri" w:hAnsi="Times New Roman" w:cs="Times New Roman"/>
          <w:sz w:val="24"/>
          <w:szCs w:val="24"/>
        </w:rPr>
      </w:pPr>
      <w:r w:rsidRPr="00C10769">
        <w:rPr>
          <w:rFonts w:ascii="Times New Roman" w:eastAsia="Calibri" w:hAnsi="Times New Roman" w:cs="Times New Roman"/>
          <w:sz w:val="24"/>
          <w:szCs w:val="24"/>
        </w:rPr>
        <w:t>annualized expenditure on repair and maintenance services of furniture, household equipment, vehicle, etc.</w:t>
      </w:r>
    </w:p>
    <w:p w14:paraId="00F6AAEF" w14:textId="780C2672" w:rsidR="00291D65" w:rsidRPr="00C10769" w:rsidRDefault="00291D65" w:rsidP="00CD2B6C">
      <w:pPr>
        <w:pStyle w:val="ListParagraph"/>
        <w:numPr>
          <w:ilvl w:val="0"/>
          <w:numId w:val="3"/>
        </w:numPr>
        <w:jc w:val="both"/>
        <w:rPr>
          <w:rFonts w:ascii="Times New Roman" w:eastAsia="Calibri" w:hAnsi="Times New Roman" w:cs="Times New Roman"/>
          <w:sz w:val="24"/>
          <w:szCs w:val="24"/>
        </w:rPr>
      </w:pPr>
      <w:r w:rsidRPr="00C10769">
        <w:rPr>
          <w:rFonts w:ascii="Times New Roman" w:eastAsia="Calibri" w:hAnsi="Times New Roman" w:cs="Times New Roman"/>
          <w:sz w:val="24"/>
          <w:szCs w:val="24"/>
        </w:rPr>
        <w:t>annualized expenditure on health, education, recreation, etc.</w:t>
      </w:r>
    </w:p>
    <w:p w14:paraId="5F757BA6" w14:textId="6007EDB7" w:rsidR="00291D65" w:rsidRPr="00C10769" w:rsidRDefault="008820FF" w:rsidP="00291D65">
      <w:pPr>
        <w:jc w:val="both"/>
        <w:rPr>
          <w:rFonts w:ascii="Times New Roman" w:eastAsia="Calibri" w:hAnsi="Times New Roman" w:cs="Times New Roman"/>
          <w:sz w:val="24"/>
          <w:szCs w:val="24"/>
        </w:rPr>
      </w:pPr>
      <w:r w:rsidRPr="00C10769">
        <w:rPr>
          <w:rFonts w:ascii="Times New Roman" w:eastAsia="Calibri" w:hAnsi="Times New Roman" w:cs="Times New Roman"/>
          <w:sz w:val="24"/>
          <w:szCs w:val="24"/>
        </w:rPr>
        <w:t xml:space="preserve"> </w:t>
      </w:r>
      <w:r w:rsidR="000B1576" w:rsidRPr="00C10769">
        <w:rPr>
          <w:rFonts w:ascii="Times New Roman" w:eastAsia="Calibri" w:hAnsi="Times New Roman" w:cs="Times New Roman"/>
          <w:sz w:val="24"/>
          <w:szCs w:val="24"/>
        </w:rPr>
        <w:tab/>
      </w:r>
      <w:r w:rsidR="00291D65" w:rsidRPr="00C10769">
        <w:rPr>
          <w:rFonts w:ascii="Times New Roman" w:eastAsia="Calibri" w:hAnsi="Times New Roman" w:cs="Times New Roman"/>
          <w:sz w:val="24"/>
          <w:szCs w:val="24"/>
        </w:rPr>
        <w:t xml:space="preserve">Total expenditure on services </w:t>
      </w:r>
      <w:r w:rsidR="00291D65" w:rsidRPr="00C10769">
        <w:rPr>
          <w:rFonts w:ascii="Times New Roman" w:eastAsia="Calibri" w:hAnsi="Times New Roman" w:cs="Times New Roman"/>
          <w:i/>
          <w:iCs/>
          <w:sz w:val="24"/>
          <w:szCs w:val="24"/>
        </w:rPr>
        <w:t>does not</w:t>
      </w:r>
      <w:r w:rsidR="00291D65" w:rsidRPr="00C10769">
        <w:rPr>
          <w:rFonts w:ascii="Times New Roman" w:eastAsia="Calibri" w:hAnsi="Times New Roman" w:cs="Times New Roman"/>
          <w:sz w:val="24"/>
          <w:szCs w:val="24"/>
        </w:rPr>
        <w:t xml:space="preserve"> include:</w:t>
      </w:r>
    </w:p>
    <w:p w14:paraId="076B9117" w14:textId="5D9A0BC0" w:rsidR="00291D65" w:rsidRPr="00C10769" w:rsidRDefault="00291D65" w:rsidP="00CD2B6C">
      <w:pPr>
        <w:pStyle w:val="ListParagraph"/>
        <w:numPr>
          <w:ilvl w:val="0"/>
          <w:numId w:val="4"/>
        </w:numPr>
        <w:jc w:val="both"/>
        <w:rPr>
          <w:rFonts w:ascii="Times New Roman" w:eastAsia="Calibri" w:hAnsi="Times New Roman" w:cs="Times New Roman"/>
          <w:sz w:val="24"/>
          <w:szCs w:val="24"/>
        </w:rPr>
      </w:pPr>
      <w:r w:rsidRPr="00C10769">
        <w:rPr>
          <w:rFonts w:ascii="Times New Roman" w:eastAsia="Calibri" w:hAnsi="Times New Roman" w:cs="Times New Roman"/>
          <w:sz w:val="24"/>
          <w:szCs w:val="24"/>
        </w:rPr>
        <w:t>lumpy expenditures such as the purchase large consumption items</w:t>
      </w:r>
    </w:p>
    <w:p w14:paraId="5CC6553D" w14:textId="7DCF148B" w:rsidR="00291D65" w:rsidRPr="00C10769" w:rsidRDefault="00291D65" w:rsidP="00CD2B6C">
      <w:pPr>
        <w:pStyle w:val="ListParagraph"/>
        <w:numPr>
          <w:ilvl w:val="0"/>
          <w:numId w:val="4"/>
        </w:numPr>
        <w:jc w:val="both"/>
        <w:rPr>
          <w:rFonts w:ascii="Times New Roman" w:eastAsia="Calibri" w:hAnsi="Times New Roman" w:cs="Times New Roman"/>
          <w:sz w:val="24"/>
          <w:szCs w:val="24"/>
        </w:rPr>
      </w:pPr>
      <w:r w:rsidRPr="00C10769">
        <w:rPr>
          <w:rFonts w:ascii="Times New Roman" w:eastAsia="Calibri" w:hAnsi="Times New Roman" w:cs="Times New Roman"/>
          <w:sz w:val="24"/>
          <w:szCs w:val="24"/>
        </w:rPr>
        <w:t>all types of investment related expenses</w:t>
      </w:r>
    </w:p>
    <w:p w14:paraId="0C542717" w14:textId="2B3778DF" w:rsidR="00291D65" w:rsidRPr="00C10769" w:rsidRDefault="00291D65" w:rsidP="00CD2B6C">
      <w:pPr>
        <w:pStyle w:val="ListParagraph"/>
        <w:numPr>
          <w:ilvl w:val="0"/>
          <w:numId w:val="4"/>
        </w:numPr>
        <w:jc w:val="both"/>
        <w:rPr>
          <w:rFonts w:ascii="Times New Roman" w:eastAsia="Calibri" w:hAnsi="Times New Roman" w:cs="Times New Roman"/>
          <w:sz w:val="24"/>
          <w:szCs w:val="24"/>
        </w:rPr>
      </w:pPr>
      <w:r w:rsidRPr="00C10769">
        <w:rPr>
          <w:rFonts w:ascii="Times New Roman" w:eastAsia="Calibri" w:hAnsi="Times New Roman" w:cs="Times New Roman"/>
          <w:sz w:val="24"/>
          <w:szCs w:val="24"/>
        </w:rPr>
        <w:t>cash gifts, alimony/child maintenance, donations charities, loans given out, hire purchase installments, life insurance payments etc.</w:t>
      </w:r>
    </w:p>
    <w:p w14:paraId="0A24D25D" w14:textId="0277F5F8" w:rsidR="000B1576" w:rsidRPr="00C10769" w:rsidRDefault="000B1576" w:rsidP="000B1576">
      <w:pPr>
        <w:jc w:val="both"/>
        <w:rPr>
          <w:rFonts w:ascii="Times New Roman" w:hAnsi="Times New Roman" w:cs="Times New Roman"/>
          <w:sz w:val="24"/>
          <w:szCs w:val="24"/>
        </w:rPr>
      </w:pPr>
      <w:r w:rsidRPr="00C10769">
        <w:rPr>
          <w:rFonts w:ascii="Times New Roman" w:eastAsia="Calibri" w:hAnsi="Times New Roman" w:cs="Times New Roman"/>
          <w:i/>
          <w:iCs/>
          <w:sz w:val="24"/>
          <w:szCs w:val="24"/>
        </w:rPr>
        <w:t xml:space="preserve">Housing. </w:t>
      </w:r>
      <w:r w:rsidR="008E590F" w:rsidRPr="00C10769">
        <w:rPr>
          <w:rFonts w:ascii="Times New Roman" w:hAnsi="Times New Roman" w:cs="Times New Roman"/>
          <w:sz w:val="24"/>
          <w:szCs w:val="24"/>
        </w:rPr>
        <w:t>The monetary amount paid by renter for their accommodation is taken as the service of the dwelling. Owners</w:t>
      </w:r>
      <w:r w:rsidR="00A06253">
        <w:rPr>
          <w:rFonts w:ascii="Times New Roman" w:hAnsi="Times New Roman" w:cs="Times New Roman"/>
          <w:sz w:val="24"/>
          <w:szCs w:val="24"/>
        </w:rPr>
        <w:t xml:space="preserve"> </w:t>
      </w:r>
      <w:r w:rsidR="008E590F" w:rsidRPr="00C10769">
        <w:rPr>
          <w:rFonts w:ascii="Times New Roman" w:hAnsi="Times New Roman" w:cs="Times New Roman"/>
          <w:sz w:val="24"/>
          <w:szCs w:val="24"/>
        </w:rPr>
        <w:t>receive as part of their we</w:t>
      </w:r>
      <w:r w:rsidR="00A06253">
        <w:rPr>
          <w:rFonts w:ascii="Times New Roman" w:hAnsi="Times New Roman" w:cs="Times New Roman"/>
          <w:sz w:val="24"/>
          <w:szCs w:val="24"/>
        </w:rPr>
        <w:t>lfare measure the value of the “</w:t>
      </w:r>
      <w:r w:rsidR="008E590F" w:rsidRPr="00C10769">
        <w:rPr>
          <w:rFonts w:ascii="Times New Roman" w:hAnsi="Times New Roman" w:cs="Times New Roman"/>
          <w:sz w:val="24"/>
          <w:szCs w:val="24"/>
        </w:rPr>
        <w:t>implicit rent</w:t>
      </w:r>
      <w:r w:rsidR="00A06253">
        <w:rPr>
          <w:rFonts w:ascii="Times New Roman" w:hAnsi="Times New Roman" w:cs="Times New Roman"/>
          <w:sz w:val="24"/>
          <w:szCs w:val="24"/>
        </w:rPr>
        <w:t xml:space="preserve"> value”</w:t>
      </w:r>
      <w:r w:rsidR="008E590F" w:rsidRPr="00C10769">
        <w:rPr>
          <w:rFonts w:ascii="Times New Roman" w:hAnsi="Times New Roman" w:cs="Times New Roman"/>
          <w:sz w:val="24"/>
          <w:szCs w:val="24"/>
        </w:rPr>
        <w:t xml:space="preserve"> question. If either value of the rent fo</w:t>
      </w:r>
      <w:r w:rsidR="00A06253">
        <w:rPr>
          <w:rFonts w:ascii="Times New Roman" w:hAnsi="Times New Roman" w:cs="Times New Roman"/>
          <w:sz w:val="24"/>
          <w:szCs w:val="24"/>
        </w:rPr>
        <w:t>r renters or the implicit rent</w:t>
      </w:r>
      <w:r w:rsidR="008E590F" w:rsidRPr="00C10769">
        <w:rPr>
          <w:rFonts w:ascii="Times New Roman" w:hAnsi="Times New Roman" w:cs="Times New Roman"/>
          <w:sz w:val="24"/>
          <w:szCs w:val="24"/>
        </w:rPr>
        <w:t xml:space="preserve"> for owners is missing, the average of each group is taken to impute the housing rent value. For free-of-charge tenants that report zero as the value of their rent, it is taken as the real value.</w:t>
      </w:r>
    </w:p>
    <w:p w14:paraId="4B003492" w14:textId="32DEC116" w:rsidR="008E590F" w:rsidRPr="00B65056" w:rsidRDefault="008E590F" w:rsidP="003B40C9">
      <w:pPr>
        <w:pStyle w:val="Heading2"/>
        <w:rPr>
          <w:rFonts w:eastAsia="Calibri"/>
        </w:rPr>
      </w:pPr>
      <w:bookmarkStart w:id="8" w:name="_Toc501363542"/>
      <w:r w:rsidRPr="003B40C9">
        <w:lastRenderedPageBreak/>
        <w:t>Normalization</w:t>
      </w:r>
      <w:r w:rsidRPr="00B65056">
        <w:rPr>
          <w:rFonts w:eastAsia="Calibri"/>
        </w:rPr>
        <w:t xml:space="preserve"> of Household Consumption</w:t>
      </w:r>
      <w:bookmarkEnd w:id="8"/>
    </w:p>
    <w:p w14:paraId="26A22F0D" w14:textId="4321E593" w:rsidR="008E590F" w:rsidRPr="00C10769" w:rsidRDefault="008E590F" w:rsidP="00C51404">
      <w:pPr>
        <w:jc w:val="both"/>
        <w:rPr>
          <w:rFonts w:ascii="Times New Roman" w:hAnsi="Times New Roman" w:cs="Times New Roman"/>
          <w:sz w:val="24"/>
          <w:szCs w:val="24"/>
          <w:lang w:val="en-ZA"/>
        </w:rPr>
      </w:pPr>
      <w:r w:rsidRPr="00C10769">
        <w:rPr>
          <w:rFonts w:ascii="Times New Roman" w:hAnsi="Times New Roman" w:cs="Times New Roman"/>
          <w:sz w:val="24"/>
          <w:szCs w:val="24"/>
        </w:rPr>
        <w:t>It is generally assumed that the total welfare of a household is distributed among all the members of the household because not all the individuals within the household have the same consumption patterns. For example, a child does not consume the same amount of food than an adult. The Adult Equivalent methodology is applied. The equivalence scale employed is as recommended by Deaton and Zaidi, (2002)</w:t>
      </w:r>
      <w:r w:rsidRPr="00C10769">
        <w:rPr>
          <w:rStyle w:val="FootnoteReference"/>
          <w:rFonts w:ascii="Times New Roman" w:hAnsi="Times New Roman" w:cs="Times New Roman"/>
          <w:sz w:val="24"/>
          <w:szCs w:val="24"/>
        </w:rPr>
        <w:footnoteReference w:id="2"/>
      </w:r>
      <w:r w:rsidRPr="00C10769">
        <w:rPr>
          <w:rFonts w:ascii="Times New Roman" w:hAnsi="Times New Roman" w:cs="Times New Roman"/>
          <w:sz w:val="24"/>
          <w:szCs w:val="24"/>
        </w:rPr>
        <w:t xml:space="preserve">, </w:t>
      </w:r>
      <w:r w:rsidRPr="00C10769">
        <w:rPr>
          <w:rFonts w:ascii="Times New Roman" w:hAnsi="Times New Roman" w:cs="Times New Roman"/>
          <w:sz w:val="24"/>
          <w:szCs w:val="24"/>
          <w:lang w:val="en-ZA"/>
        </w:rPr>
        <w:t xml:space="preserve"> which attributes values of 0.5 for children under 5 years, and 0.7 for children aged 5-14 years, with a full weight of 1 for all other ages. </w:t>
      </w:r>
    </w:p>
    <w:p w14:paraId="19CE0988" w14:textId="1C496CC9" w:rsidR="00210637" w:rsidRPr="00C51404" w:rsidRDefault="00F222AB" w:rsidP="009D58C5">
      <w:pPr>
        <w:pStyle w:val="Heading1"/>
      </w:pPr>
      <w:bookmarkStart w:id="9" w:name="_Toc501363543"/>
      <w:r w:rsidRPr="009D58C5">
        <w:t>Consumption</w:t>
      </w:r>
      <w:r w:rsidRPr="00C51404">
        <w:t xml:space="preserve"> </w:t>
      </w:r>
      <w:r w:rsidR="00210637" w:rsidRPr="00C51404">
        <w:t>Poverty Line</w:t>
      </w:r>
      <w:bookmarkEnd w:id="9"/>
    </w:p>
    <w:p w14:paraId="743AA978" w14:textId="4F288061" w:rsidR="00295B17" w:rsidRPr="009D58C5" w:rsidRDefault="00C51404" w:rsidP="009D58C5">
      <w:pPr>
        <w:jc w:val="both"/>
        <w:rPr>
          <w:rFonts w:ascii="Times New Roman" w:hAnsi="Times New Roman" w:cs="Times New Roman"/>
          <w:sz w:val="24"/>
          <w:szCs w:val="24"/>
        </w:rPr>
      </w:pPr>
      <w:r w:rsidRPr="00C10769">
        <w:rPr>
          <w:rFonts w:ascii="Times New Roman" w:hAnsi="Times New Roman" w:cs="Times New Roman"/>
          <w:sz w:val="24"/>
          <w:szCs w:val="24"/>
        </w:rPr>
        <w:t xml:space="preserve">A poverty line is “the monetary cost to a given person, at a given place and time, of a reference level of welfare. People who do not attain that level of welfare are deemed poor, and those who do are not” </w:t>
      </w:r>
      <w:r w:rsidRPr="00C10769">
        <w:rPr>
          <w:rFonts w:ascii="Times New Roman" w:hAnsi="Times New Roman" w:cs="Times New Roman"/>
          <w:sz w:val="24"/>
          <w:szCs w:val="24"/>
        </w:rPr>
        <w:fldChar w:fldCharType="begin"/>
      </w:r>
      <w:r w:rsidRPr="00C10769">
        <w:rPr>
          <w:rFonts w:ascii="Times New Roman" w:hAnsi="Times New Roman" w:cs="Times New Roman"/>
          <w:sz w:val="24"/>
          <w:szCs w:val="24"/>
        </w:rPr>
        <w:instrText xml:space="preserve"> ADDIN ZOTERO_ITEM CSL_CITATION {"citationID":"y9AC7AZn","properties":{"formattedCitation":"(Ravallion 1998, 3)","plainCitation":"(Ravallion 1998, 3)"},"citationItems":[{"id":83,"uris":["http://zotero.org/users/1982691/items/EHBRVCKS"],"uri":["http://zotero.org/users/1982691/items/EHBRVCKS"],"itemData":{"id":83,"type":"book","title":"Poverty lines in theory and practice","collection-title":"LSMS working paper","collection-number":"no. 133","publisher":"World Bank","publisher-place":"Washington, DC","number-of-pages":"35","source":"Library of Congress ISBN","event-place":"Washington, DC","abstract":"As a part of the Living Standards Measurement Study, this paper presents a critical overview of alternative approaches towards setting poverty lines, which: a) define the minimum level of living standards before being considered \"poor\"; and, b) make comparisons among these minimum levels, for families of different size and/or composition in different locations and time. The paper argues that economists have emphasized the second role, while generally ignoring the first. Experience suggests that the poverty measures obtained, and the inference for policy derived, are affected by the choice made in setting poverty lines. In critically reviewing the methods found in practice, the paper aims to analyze, and attempts to resolve, ongoing debates about poverty measurements, highlighting the issues bearing the most on policy discussions. The paper discusses two methods within objective poverty lines: food-energy intake, and the cost of basic needs. Subjective poverty lines are discussed in the context of minimum income question, used in many developed countries, while pointing out its pitfalls in the context of developing countries. The paper concludes with a discussion of poverty lines found in practice, as opposed to the theoretical ones mentioned above.","ISBN":"0821342266","call-number":"HC79.P6 R38 1998","author":[{"family":"Ravallion","given":"Martin"}],"issued":{"date-parts":[["1998"]]}},"locator":"3"}],"schema":"https://github.com/citation-style-language/schema/raw/master/csl-citation.json"} </w:instrText>
      </w:r>
      <w:r w:rsidRPr="00C10769">
        <w:rPr>
          <w:rFonts w:ascii="Times New Roman" w:hAnsi="Times New Roman" w:cs="Times New Roman"/>
          <w:sz w:val="24"/>
          <w:szCs w:val="24"/>
        </w:rPr>
        <w:fldChar w:fldCharType="separate"/>
      </w:r>
      <w:r w:rsidR="00853996" w:rsidRPr="00C10769">
        <w:rPr>
          <w:rFonts w:ascii="Times New Roman" w:hAnsi="Times New Roman" w:cs="Times New Roman"/>
          <w:sz w:val="24"/>
          <w:szCs w:val="24"/>
        </w:rPr>
        <w:t>(Ravallion 1998</w:t>
      </w:r>
      <w:r w:rsidRPr="00C10769">
        <w:rPr>
          <w:rFonts w:ascii="Times New Roman" w:hAnsi="Times New Roman" w:cs="Times New Roman"/>
          <w:sz w:val="24"/>
          <w:szCs w:val="24"/>
        </w:rPr>
        <w:t>)</w:t>
      </w:r>
      <w:r w:rsidRPr="00C10769">
        <w:rPr>
          <w:rFonts w:ascii="Times New Roman" w:hAnsi="Times New Roman" w:cs="Times New Roman"/>
          <w:sz w:val="24"/>
          <w:szCs w:val="24"/>
        </w:rPr>
        <w:fldChar w:fldCharType="end"/>
      </w:r>
      <w:r w:rsidRPr="00C10769">
        <w:rPr>
          <w:rFonts w:ascii="Times New Roman" w:hAnsi="Times New Roman" w:cs="Times New Roman"/>
          <w:sz w:val="24"/>
          <w:szCs w:val="24"/>
        </w:rPr>
        <w:t xml:space="preserve">. </w:t>
      </w:r>
      <w:r w:rsidR="00295B17" w:rsidRPr="00C10769">
        <w:rPr>
          <w:rFonts w:ascii="Times New Roman" w:hAnsi="Times New Roman" w:cs="Times New Roman"/>
          <w:sz w:val="24"/>
          <w:szCs w:val="24"/>
        </w:rPr>
        <w:t xml:space="preserve">The choice of poverty lines depends on </w:t>
      </w:r>
      <w:r w:rsidR="00853996" w:rsidRPr="00C10769">
        <w:rPr>
          <w:rFonts w:ascii="Times New Roman" w:hAnsi="Times New Roman" w:cs="Times New Roman"/>
          <w:sz w:val="24"/>
          <w:szCs w:val="24"/>
        </w:rPr>
        <w:t>the intended use of the poverty rates</w:t>
      </w:r>
      <w:r w:rsidR="00295B17" w:rsidRPr="00C10769">
        <w:rPr>
          <w:rFonts w:ascii="Times New Roman" w:hAnsi="Times New Roman" w:cs="Times New Roman"/>
          <w:sz w:val="24"/>
          <w:szCs w:val="24"/>
        </w:rPr>
        <w:t xml:space="preserve">. </w:t>
      </w:r>
      <w:r w:rsidR="006B0E70" w:rsidRPr="00C10769">
        <w:rPr>
          <w:rFonts w:ascii="Times New Roman" w:hAnsi="Times New Roman" w:cs="Times New Roman"/>
          <w:sz w:val="24"/>
          <w:szCs w:val="24"/>
        </w:rPr>
        <w:t xml:space="preserve">Like most developing economies, Saint Lucia use an </w:t>
      </w:r>
      <w:r w:rsidR="006B0E70" w:rsidRPr="00C9552D">
        <w:rPr>
          <w:rFonts w:ascii="Times New Roman" w:hAnsi="Times New Roman" w:cs="Times New Roman"/>
          <w:i/>
          <w:iCs/>
          <w:sz w:val="24"/>
          <w:szCs w:val="24"/>
        </w:rPr>
        <w:t>absolute</w:t>
      </w:r>
      <w:r w:rsidR="006B0E70" w:rsidRPr="00C10769">
        <w:rPr>
          <w:rFonts w:ascii="Times New Roman" w:hAnsi="Times New Roman" w:cs="Times New Roman"/>
          <w:sz w:val="24"/>
          <w:szCs w:val="24"/>
        </w:rPr>
        <w:t xml:space="preserve"> poverty line.</w:t>
      </w:r>
      <w:r w:rsidR="006B0E70">
        <w:rPr>
          <w:rFonts w:ascii="Times New Roman" w:hAnsi="Times New Roman" w:cs="Times New Roman"/>
          <w:sz w:val="24"/>
          <w:szCs w:val="24"/>
        </w:rPr>
        <w:t xml:space="preserve"> </w:t>
      </w:r>
      <w:r w:rsidR="00C9552D">
        <w:rPr>
          <w:rFonts w:ascii="Times New Roman" w:hAnsi="Times New Roman" w:cs="Times New Roman"/>
          <w:sz w:val="24"/>
          <w:szCs w:val="24"/>
        </w:rPr>
        <w:t xml:space="preserve">The </w:t>
      </w:r>
      <w:r w:rsidR="00295B17" w:rsidRPr="00C10769">
        <w:rPr>
          <w:rFonts w:ascii="Times New Roman" w:hAnsi="Times New Roman" w:cs="Times New Roman"/>
          <w:sz w:val="24"/>
          <w:szCs w:val="24"/>
        </w:rPr>
        <w:t xml:space="preserve">poverty line is fixed to represent the same purchasing power overtime, although it may differ across countries. </w:t>
      </w:r>
      <w:r w:rsidR="00C9552D">
        <w:rPr>
          <w:rFonts w:ascii="Times New Roman" w:hAnsi="Times New Roman" w:cs="Times New Roman"/>
          <w:sz w:val="24"/>
          <w:szCs w:val="24"/>
        </w:rPr>
        <w:t>Absolute</w:t>
      </w:r>
      <w:r w:rsidR="00295B17" w:rsidRPr="00C10769">
        <w:rPr>
          <w:rFonts w:ascii="Times New Roman" w:hAnsi="Times New Roman" w:cs="Times New Roman"/>
          <w:sz w:val="24"/>
          <w:szCs w:val="24"/>
        </w:rPr>
        <w:t xml:space="preserve"> poverty lines are more relevant to assessing the policies on their success in bringing people out of poverty by ensuring their welfare stand above the </w:t>
      </w:r>
      <w:r w:rsidR="00295B17" w:rsidRPr="00C10769">
        <w:rPr>
          <w:rFonts w:ascii="Times New Roman" w:hAnsi="Times New Roman" w:cs="Times New Roman"/>
          <w:i/>
          <w:sz w:val="24"/>
          <w:szCs w:val="24"/>
        </w:rPr>
        <w:t>absolute</w:t>
      </w:r>
      <w:r w:rsidR="00295B17" w:rsidRPr="00C10769">
        <w:rPr>
          <w:rFonts w:ascii="Times New Roman" w:hAnsi="Times New Roman" w:cs="Times New Roman"/>
          <w:sz w:val="24"/>
          <w:szCs w:val="24"/>
        </w:rPr>
        <w:t xml:space="preserve"> threshold. </w:t>
      </w:r>
      <w:r w:rsidR="00C9552D">
        <w:rPr>
          <w:rFonts w:ascii="Times New Roman" w:hAnsi="Times New Roman" w:cs="Times New Roman"/>
          <w:sz w:val="24"/>
          <w:szCs w:val="24"/>
        </w:rPr>
        <w:t>Developed</w:t>
      </w:r>
      <w:r w:rsidR="00853996" w:rsidRPr="00C10769">
        <w:rPr>
          <w:rFonts w:ascii="Times New Roman" w:hAnsi="Times New Roman" w:cs="Times New Roman"/>
          <w:sz w:val="24"/>
          <w:szCs w:val="24"/>
        </w:rPr>
        <w:t xml:space="preserve"> countries</w:t>
      </w:r>
      <w:r w:rsidR="009D58C5">
        <w:rPr>
          <w:rFonts w:ascii="Times New Roman" w:hAnsi="Times New Roman" w:cs="Times New Roman"/>
          <w:sz w:val="24"/>
          <w:szCs w:val="24"/>
        </w:rPr>
        <w:t>, on a contrary,</w:t>
      </w:r>
      <w:r w:rsidR="00853996" w:rsidRPr="00C10769">
        <w:rPr>
          <w:rFonts w:ascii="Times New Roman" w:hAnsi="Times New Roman" w:cs="Times New Roman"/>
          <w:sz w:val="24"/>
          <w:szCs w:val="24"/>
        </w:rPr>
        <w:t xml:space="preserve"> tend to adopt </w:t>
      </w:r>
      <w:r w:rsidR="00853996" w:rsidRPr="00C10769">
        <w:rPr>
          <w:rFonts w:ascii="Times New Roman" w:hAnsi="Times New Roman" w:cs="Times New Roman"/>
          <w:i/>
          <w:sz w:val="24"/>
          <w:szCs w:val="24"/>
        </w:rPr>
        <w:t>relative</w:t>
      </w:r>
      <w:r w:rsidR="00853996" w:rsidRPr="00C10769">
        <w:rPr>
          <w:rFonts w:ascii="Times New Roman" w:hAnsi="Times New Roman" w:cs="Times New Roman"/>
          <w:sz w:val="24"/>
          <w:szCs w:val="24"/>
        </w:rPr>
        <w:t xml:space="preserve"> poverty lines, in which poverty lines are updated overtime</w:t>
      </w:r>
      <w:r w:rsidR="009D58C5">
        <w:rPr>
          <w:rFonts w:ascii="Times New Roman" w:hAnsi="Times New Roman" w:cs="Times New Roman"/>
          <w:sz w:val="24"/>
          <w:szCs w:val="24"/>
        </w:rPr>
        <w:t xml:space="preserve"> when income per capita rises</w:t>
      </w:r>
      <w:r w:rsidR="00853996" w:rsidRPr="00C10769">
        <w:rPr>
          <w:rFonts w:ascii="Times New Roman" w:hAnsi="Times New Roman" w:cs="Times New Roman"/>
          <w:sz w:val="24"/>
          <w:szCs w:val="24"/>
        </w:rPr>
        <w:t xml:space="preserve">. Thus, the poor are not those who lack command over basic </w:t>
      </w:r>
      <w:r w:rsidR="00853996" w:rsidRPr="009D58C5">
        <w:rPr>
          <w:rFonts w:ascii="Times New Roman" w:hAnsi="Times New Roman" w:cs="Times New Roman"/>
          <w:sz w:val="24"/>
          <w:szCs w:val="24"/>
        </w:rPr>
        <w:t>needs, but those who have relatively low welfare compared to the rest of the society.</w:t>
      </w:r>
    </w:p>
    <w:p w14:paraId="1AA8F91F" w14:textId="77777777" w:rsidR="00C10769" w:rsidRPr="009D58C5" w:rsidRDefault="00C10769" w:rsidP="009D58C5">
      <w:pPr>
        <w:jc w:val="both"/>
        <w:rPr>
          <w:rFonts w:ascii="Times New Roman" w:hAnsi="Times New Roman" w:cs="Times New Roman"/>
          <w:sz w:val="24"/>
          <w:szCs w:val="24"/>
        </w:rPr>
      </w:pPr>
    </w:p>
    <w:p w14:paraId="60F098F4" w14:textId="78568FFA" w:rsidR="00C10769" w:rsidRPr="00EC0997" w:rsidRDefault="00014353" w:rsidP="00EC0997">
      <w:pPr>
        <w:autoSpaceDE w:val="0"/>
        <w:autoSpaceDN w:val="0"/>
        <w:adjustRightInd w:val="0"/>
        <w:spacing w:after="0" w:line="240" w:lineRule="auto"/>
        <w:jc w:val="both"/>
        <w:rPr>
          <w:rFonts w:ascii="Times New Roman" w:hAnsi="Times New Roman" w:cs="Times New Roman"/>
          <w:color w:val="231F20"/>
          <w:sz w:val="24"/>
          <w:szCs w:val="24"/>
        </w:rPr>
      </w:pPr>
      <w:r w:rsidRPr="00EC0997">
        <w:rPr>
          <w:rFonts w:ascii="Times New Roman" w:hAnsi="Times New Roman" w:cs="Times New Roman"/>
          <w:sz w:val="24"/>
          <w:szCs w:val="24"/>
        </w:rPr>
        <w:t xml:space="preserve">When consumption expenditure is chosen to be a measure of household welfare, which is the case for Saint Lucia and the OECS countries, </w:t>
      </w:r>
      <w:r w:rsidRPr="00EC0997">
        <w:rPr>
          <w:rFonts w:ascii="Times New Roman" w:hAnsi="Times New Roman" w:cs="Times New Roman"/>
          <w:color w:val="231F20"/>
          <w:sz w:val="24"/>
          <w:szCs w:val="24"/>
        </w:rPr>
        <w:t>the poor are defined as those who lack command over basic consumption needs, including food and nonfood components</w:t>
      </w:r>
      <w:r w:rsidRPr="00EC0997">
        <w:rPr>
          <w:rFonts w:ascii="Times New Roman" w:hAnsi="Times New Roman" w:cs="Times New Roman"/>
          <w:sz w:val="24"/>
          <w:szCs w:val="24"/>
        </w:rPr>
        <w:t>.</w:t>
      </w:r>
      <w:r w:rsidR="00C10769" w:rsidRPr="00EC0997">
        <w:rPr>
          <w:rFonts w:ascii="Times New Roman" w:hAnsi="Times New Roman" w:cs="Times New Roman"/>
          <w:sz w:val="24"/>
          <w:szCs w:val="24"/>
        </w:rPr>
        <w:t xml:space="preserve"> In </w:t>
      </w:r>
      <w:r w:rsidR="00C10769" w:rsidRPr="00EC0997">
        <w:rPr>
          <w:rStyle w:val="Emphasis"/>
          <w:rFonts w:ascii="Times New Roman" w:hAnsi="Times New Roman" w:cs="Times New Roman"/>
          <w:sz w:val="24"/>
          <w:szCs w:val="24"/>
        </w:rPr>
        <w:t>general</w:t>
      </w:r>
      <w:r w:rsidR="00C10769" w:rsidRPr="00EC0997">
        <w:rPr>
          <w:rFonts w:ascii="Times New Roman" w:hAnsi="Times New Roman" w:cs="Times New Roman"/>
          <w:sz w:val="24"/>
          <w:szCs w:val="24"/>
        </w:rPr>
        <w:t>, poverty lines can be constructed from survey data using three different approaches: the cost of basic needs, food energy intake and subjective evaluation, each of which has its own strength and weakness.</w:t>
      </w:r>
      <w:r w:rsidR="00C10769" w:rsidRPr="00EC0997">
        <w:rPr>
          <w:rStyle w:val="FootnoteReference"/>
          <w:rFonts w:ascii="Times New Roman" w:hAnsi="Times New Roman" w:cs="Times New Roman"/>
          <w:sz w:val="24"/>
          <w:szCs w:val="24"/>
        </w:rPr>
        <w:footnoteReference w:id="3"/>
      </w:r>
      <w:r w:rsidR="00C10769" w:rsidRPr="00EC0997">
        <w:rPr>
          <w:rFonts w:ascii="Times New Roman" w:hAnsi="Times New Roman" w:cs="Times New Roman"/>
          <w:sz w:val="24"/>
          <w:szCs w:val="24"/>
        </w:rPr>
        <w:t xml:space="preserve"> </w:t>
      </w:r>
      <w:r w:rsidR="009D58C5" w:rsidRPr="00EC0997">
        <w:rPr>
          <w:rFonts w:ascii="Times New Roman" w:hAnsi="Times New Roman" w:cs="Times New Roman"/>
          <w:sz w:val="24"/>
          <w:szCs w:val="24"/>
        </w:rPr>
        <w:t>The most widely-used approach is the cost of basic needs. Saint Lucia adopts this approach to calculate its absolute poverty line. The cost of basic needs approach first estimates the cost of acquiring enough food for adequate nutrition</w:t>
      </w:r>
      <w:r w:rsidR="00EC0997" w:rsidRPr="00EC0997">
        <w:rPr>
          <w:rFonts w:ascii="Times New Roman" w:hAnsi="Times New Roman" w:cs="Times New Roman"/>
          <w:sz w:val="24"/>
          <w:szCs w:val="24"/>
        </w:rPr>
        <w:t>, taking into account consumption patterns of the poor</w:t>
      </w:r>
      <w:r w:rsidR="009D58C5" w:rsidRPr="00EC0997">
        <w:rPr>
          <w:rFonts w:ascii="Times New Roman" w:hAnsi="Times New Roman" w:cs="Times New Roman"/>
          <w:sz w:val="24"/>
          <w:szCs w:val="24"/>
        </w:rPr>
        <w:t xml:space="preserve">. </w:t>
      </w:r>
      <w:r w:rsidR="00EC0997" w:rsidRPr="00EC0997">
        <w:rPr>
          <w:rFonts w:ascii="Times New Roman" w:hAnsi="Times New Roman" w:cs="Times New Roman"/>
          <w:sz w:val="24"/>
          <w:szCs w:val="24"/>
        </w:rPr>
        <w:t xml:space="preserve">This is called the food poverty line. </w:t>
      </w:r>
      <w:r w:rsidR="009D58C5" w:rsidRPr="00EC0997">
        <w:rPr>
          <w:rFonts w:ascii="Times New Roman" w:hAnsi="Times New Roman" w:cs="Times New Roman"/>
          <w:sz w:val="24"/>
          <w:szCs w:val="24"/>
        </w:rPr>
        <w:t xml:space="preserve">Then, the cost of non-food consumption is added to the food poverty line, giving the poverty line. </w:t>
      </w:r>
      <w:r w:rsidR="00C10769" w:rsidRPr="00EC0997">
        <w:rPr>
          <w:rFonts w:ascii="Times New Roman" w:hAnsi="Times New Roman" w:cs="Times New Roman"/>
          <w:sz w:val="24"/>
          <w:szCs w:val="24"/>
        </w:rPr>
        <w:t xml:space="preserve">Subjective poverty lines </w:t>
      </w:r>
      <w:r w:rsidR="00C10769" w:rsidRPr="00EC0997">
        <w:rPr>
          <w:rFonts w:ascii="Times New Roman" w:hAnsi="Times New Roman" w:cs="Times New Roman"/>
          <w:color w:val="231F20"/>
          <w:sz w:val="24"/>
          <w:szCs w:val="24"/>
        </w:rPr>
        <w:t xml:space="preserve">measure poverty by asking people to define a poverty line, and using this to measure the extent of poverty. Because the answers vary from </w:t>
      </w:r>
      <w:r w:rsidR="00EC0997" w:rsidRPr="00EC0997">
        <w:rPr>
          <w:rFonts w:ascii="Times New Roman" w:hAnsi="Times New Roman" w:cs="Times New Roman"/>
          <w:color w:val="231F20"/>
          <w:sz w:val="24"/>
          <w:szCs w:val="24"/>
        </w:rPr>
        <w:t>household to household</w:t>
      </w:r>
      <w:r w:rsidR="00C10769" w:rsidRPr="00EC0997">
        <w:rPr>
          <w:rFonts w:ascii="Times New Roman" w:hAnsi="Times New Roman" w:cs="Times New Roman"/>
          <w:color w:val="231F20"/>
          <w:sz w:val="24"/>
          <w:szCs w:val="24"/>
        </w:rPr>
        <w:t xml:space="preserve">, </w:t>
      </w:r>
      <w:r w:rsidR="009D58C5" w:rsidRPr="00EC0997">
        <w:rPr>
          <w:rFonts w:ascii="Times New Roman" w:hAnsi="Times New Roman" w:cs="Times New Roman"/>
          <w:sz w:val="24"/>
          <w:szCs w:val="24"/>
        </w:rPr>
        <w:t>subjective poverty lines</w:t>
      </w:r>
      <w:r w:rsidR="00C10769" w:rsidRPr="00EC0997">
        <w:rPr>
          <w:rFonts w:ascii="Times New Roman" w:hAnsi="Times New Roman" w:cs="Times New Roman"/>
          <w:sz w:val="24"/>
          <w:szCs w:val="24"/>
        </w:rPr>
        <w:t xml:space="preserve"> are not appropriate as official measures of </w:t>
      </w:r>
      <w:r w:rsidR="00C10769" w:rsidRPr="00A06253">
        <w:rPr>
          <w:rFonts w:ascii="Times New Roman" w:hAnsi="Times New Roman" w:cs="Times New Roman"/>
          <w:sz w:val="24"/>
          <w:szCs w:val="24"/>
        </w:rPr>
        <w:t xml:space="preserve">poverty </w:t>
      </w:r>
      <w:r w:rsidR="00C10769" w:rsidRPr="00A06253">
        <w:rPr>
          <w:rFonts w:ascii="Times New Roman" w:hAnsi="Times New Roman" w:cs="Times New Roman"/>
          <w:sz w:val="24"/>
          <w:szCs w:val="24"/>
        </w:rPr>
        <w:fldChar w:fldCharType="begin"/>
      </w:r>
      <w:r w:rsidR="00C10769" w:rsidRPr="00A06253">
        <w:rPr>
          <w:rFonts w:ascii="Times New Roman" w:hAnsi="Times New Roman" w:cs="Times New Roman"/>
          <w:sz w:val="24"/>
          <w:szCs w:val="24"/>
        </w:rPr>
        <w:instrText xml:space="preserve"> ADDIN ZOTERO_ITEM CSL_CITATION {"citationID":"6ay0O3i6","properties":{"formattedCitation":"{\\rtf (Ravallion 1992, 34\\uc0\\u8211{}35)}","plainCitation":"(Ravallion 1992, 34–35)"},"citationItems":[{"id":623,"uris":["http://zotero.org/users/1982691/items/PCBN9JPD"],"uri":["http://zotero.org/users/1982691/items/PCBN9JPD"],"itemData":{"id":623,"type":"report","title":"Poverty comparisons : a guide to concepts and methods","publisher":"The World Bank","page":"1-138","source":"documents.worldbank.org","abstract":"Poverty assessments are typically clouded in conceptual and methodological uncertainties. How should living standards be assessed? Is a household survey necessary, and is it a reliable guide? Where should the poverty line be drawn, and does the choice matter? What poverty measure should be used in aggregating data on individual living standards? Does that choice matter? This paper surveys the issues that need to be considered in answering these questions, and discusses a number of new tools of analysis which can greatly facilitate poverty comparisons, recognizing the uncertainties involved. Various applications in poverty assessment and policy evaluation for developing countries are used to show how these methods can be put into practice. Recommendations are made for future applied work.","URL":"http://documents.worldbank.org/curated/en/1992/02/437897/poverty-comparisons-guide-concepts-methods","number":"LSM88","shortTitle":"Poverty comparisons","language":"en","author":[{"family":"Ravallion","given":"Martin"}],"issued":{"date-parts":[["1992",2,29]]},"accessed":{"date-parts":[["2015",3,11]]}},"locator":"34-35"}],"schema":"https://github.com/citation-style-language/schema/raw/master/csl-citation.json"} </w:instrText>
      </w:r>
      <w:r w:rsidR="00C10769" w:rsidRPr="00A06253">
        <w:rPr>
          <w:rFonts w:ascii="Times New Roman" w:hAnsi="Times New Roman" w:cs="Times New Roman"/>
          <w:sz w:val="24"/>
          <w:szCs w:val="24"/>
        </w:rPr>
        <w:fldChar w:fldCharType="separate"/>
      </w:r>
      <w:r w:rsidR="00C10769" w:rsidRPr="00A06253">
        <w:rPr>
          <w:rFonts w:ascii="Times New Roman" w:hAnsi="Times New Roman" w:cs="Times New Roman"/>
          <w:sz w:val="24"/>
          <w:szCs w:val="24"/>
        </w:rPr>
        <w:t>(Ravallion 1992)</w:t>
      </w:r>
      <w:r w:rsidR="00C10769" w:rsidRPr="00A06253">
        <w:rPr>
          <w:rFonts w:ascii="Times New Roman" w:hAnsi="Times New Roman" w:cs="Times New Roman"/>
          <w:sz w:val="24"/>
          <w:szCs w:val="24"/>
        </w:rPr>
        <w:fldChar w:fldCharType="end"/>
      </w:r>
      <w:r w:rsidR="00C10769" w:rsidRPr="00A06253">
        <w:rPr>
          <w:rFonts w:ascii="Times New Roman" w:hAnsi="Times New Roman" w:cs="Times New Roman"/>
          <w:sz w:val="24"/>
          <w:szCs w:val="24"/>
        </w:rPr>
        <w:t xml:space="preserve">.  </w:t>
      </w:r>
      <w:r w:rsidR="00EC0997" w:rsidRPr="00A06253">
        <w:rPr>
          <w:rFonts w:ascii="Times New Roman" w:hAnsi="Times New Roman" w:cs="Times New Roman"/>
          <w:sz w:val="24"/>
          <w:szCs w:val="24"/>
        </w:rPr>
        <w:t xml:space="preserve">The food energy intake approach is generally used when price information in unavailable. The poverty line </w:t>
      </w:r>
      <w:r w:rsidR="00A06253" w:rsidRPr="00A06253">
        <w:rPr>
          <w:rFonts w:ascii="Times New Roman" w:hAnsi="Times New Roman" w:cs="Times New Roman"/>
          <w:sz w:val="24"/>
          <w:szCs w:val="24"/>
        </w:rPr>
        <w:t xml:space="preserve">is associated with the monetary value of the total consumption for a representative household  that meets a particular caloric requirement </w:t>
      </w:r>
      <w:r w:rsidR="00A06253" w:rsidRPr="00A06253">
        <w:rPr>
          <w:rFonts w:ascii="Times New Roman" w:hAnsi="Times New Roman" w:cs="Times New Roman"/>
          <w:sz w:val="24"/>
          <w:szCs w:val="24"/>
        </w:rPr>
        <w:fldChar w:fldCharType="begin"/>
      </w:r>
      <w:r w:rsidR="00A06253" w:rsidRPr="00A06253">
        <w:rPr>
          <w:rFonts w:ascii="Times New Roman" w:hAnsi="Times New Roman" w:cs="Times New Roman"/>
          <w:sz w:val="24"/>
          <w:szCs w:val="24"/>
        </w:rPr>
        <w:instrText xml:space="preserve"> ADDIN ZOTERO_ITEM CSL_CITATION {"citationID":"ahPYm14D","properties":{"formattedCitation":"(Tarp et al. 2002, 79)","plainCitation":"(Tarp et al. 2002, 79)"},"citationItems":[{"id":631,"uris":["http://zotero.org/users/1982691/items/V3IJC4BE"],"uri":["http://zotero.org/users/1982691/items/V3IJC4BE"],"itemData":{"id":631,"type":"article-journal","title":"The Robustness of Poverty Profiles Reconsidered","container-title":"Economic Development and Cultural Change","page":"77-108","volume":"51","issue":"1","source":"JSTOR","DOI":"10.1086/345454","ISSN":"0013-0079","journalAbbreviation":"Economic Development and Cultural Change","author":[{"family":"Tarp","given":"Finn"},{"family":"Simler","given":"Kenneth"},{"family":"Matusse","given":"Cristina"},{"family":"Heltberg","given":"Rasmus"},{"family":"Dava","given":"Gabriel"}],"issued":{"date-parts":[["2002",10,1]]},"accessed":{"date-parts":[["2015",3,12]]}},"locator":"79"}],"schema":"https://github.com/citation-style-language/schema/raw/master/csl-citation.json"} </w:instrText>
      </w:r>
      <w:r w:rsidR="00A06253" w:rsidRPr="00A06253">
        <w:rPr>
          <w:rFonts w:ascii="Times New Roman" w:hAnsi="Times New Roman" w:cs="Times New Roman"/>
          <w:sz w:val="24"/>
          <w:szCs w:val="24"/>
        </w:rPr>
        <w:fldChar w:fldCharType="separate"/>
      </w:r>
      <w:r w:rsidR="00A06253" w:rsidRPr="00A06253">
        <w:rPr>
          <w:rFonts w:ascii="Times New Roman" w:hAnsi="Times New Roman" w:cs="Times New Roman"/>
          <w:sz w:val="24"/>
          <w:szCs w:val="24"/>
        </w:rPr>
        <w:t>(Tarp et al. 2002, 79)</w:t>
      </w:r>
      <w:r w:rsidR="00A06253" w:rsidRPr="00A06253">
        <w:rPr>
          <w:rFonts w:ascii="Times New Roman" w:hAnsi="Times New Roman" w:cs="Times New Roman"/>
          <w:sz w:val="24"/>
          <w:szCs w:val="24"/>
        </w:rPr>
        <w:fldChar w:fldCharType="end"/>
      </w:r>
      <w:r w:rsidR="00EC0997" w:rsidRPr="00A06253">
        <w:rPr>
          <w:rFonts w:cstheme="minorHAnsi"/>
          <w:sz w:val="24"/>
          <w:szCs w:val="24"/>
        </w:rPr>
        <w:t>.</w:t>
      </w:r>
      <w:r w:rsidR="00BF2BEE" w:rsidRPr="00A06253">
        <w:rPr>
          <w:rFonts w:cstheme="minorHAnsi"/>
          <w:sz w:val="24"/>
          <w:szCs w:val="24"/>
        </w:rPr>
        <w:t xml:space="preserve"> Its parsimony for not requiring data on food prices gives rise to </w:t>
      </w:r>
      <w:r w:rsidR="00A06253" w:rsidRPr="00A06253">
        <w:rPr>
          <w:rFonts w:cstheme="minorHAnsi"/>
          <w:sz w:val="24"/>
          <w:szCs w:val="24"/>
        </w:rPr>
        <w:t xml:space="preserve">various problems, e.g. </w:t>
      </w:r>
      <w:r w:rsidR="00A06253" w:rsidRPr="00A06253">
        <w:rPr>
          <w:rFonts w:cstheme="minorHAnsi"/>
          <w:color w:val="231F20"/>
          <w:sz w:val="24"/>
          <w:szCs w:val="24"/>
        </w:rPr>
        <w:t>the tastes of the household and the relative prices of different foods,</w:t>
      </w:r>
      <w:r w:rsidR="00A06253" w:rsidRPr="00A06253">
        <w:rPr>
          <w:rFonts w:cstheme="minorHAnsi"/>
          <w:sz w:val="24"/>
          <w:szCs w:val="24"/>
        </w:rPr>
        <w:t xml:space="preserve"> that it is not recommended to be used unless the alternatives are infeasible.</w:t>
      </w:r>
    </w:p>
    <w:p w14:paraId="47DF0940" w14:textId="0B4DB7EC" w:rsidR="000F736F" w:rsidRDefault="00A06253" w:rsidP="00C51404">
      <w:pPr>
        <w:jc w:val="both"/>
        <w:rPr>
          <w:sz w:val="24"/>
          <w:szCs w:val="24"/>
        </w:rPr>
      </w:pPr>
      <w:r w:rsidRPr="00A06253">
        <w:rPr>
          <w:sz w:val="24"/>
          <w:szCs w:val="24"/>
        </w:rPr>
        <w:lastRenderedPageBreak/>
        <w:t xml:space="preserve">The poverty line </w:t>
      </w:r>
      <w:r w:rsidRPr="00A06253">
        <w:rPr>
          <w:rFonts w:ascii="Times New Roman" w:hAnsi="Times New Roman" w:cs="Times New Roman"/>
          <w:sz w:val="24"/>
          <w:szCs w:val="24"/>
        </w:rPr>
        <w:t xml:space="preserve">constructed from St Lucia’s 2016 Survey of Living Conditions and Household Budget (SLCHB) </w:t>
      </w:r>
      <w:r w:rsidRPr="00A06253">
        <w:rPr>
          <w:sz w:val="24"/>
          <w:szCs w:val="24"/>
        </w:rPr>
        <w:t>is an absolute</w:t>
      </w:r>
      <w:r w:rsidR="00C502F2">
        <w:rPr>
          <w:sz w:val="24"/>
          <w:szCs w:val="24"/>
        </w:rPr>
        <w:t xml:space="preserve"> poverty</w:t>
      </w:r>
      <w:r w:rsidRPr="00A06253">
        <w:rPr>
          <w:sz w:val="24"/>
          <w:szCs w:val="24"/>
        </w:rPr>
        <w:t xml:space="preserve"> line based on the </w:t>
      </w:r>
      <w:r w:rsidRPr="00A06253">
        <w:rPr>
          <w:rFonts w:ascii="Times New Roman" w:hAnsi="Times New Roman" w:cs="Times New Roman"/>
          <w:sz w:val="24"/>
          <w:szCs w:val="24"/>
        </w:rPr>
        <w:t>cost of basic needs</w:t>
      </w:r>
      <w:r w:rsidRPr="00A06253">
        <w:rPr>
          <w:sz w:val="24"/>
          <w:szCs w:val="24"/>
        </w:rPr>
        <w:t xml:space="preserve"> method.</w:t>
      </w:r>
      <w:r w:rsidR="00C502F2">
        <w:rPr>
          <w:sz w:val="24"/>
          <w:szCs w:val="24"/>
        </w:rPr>
        <w:t xml:space="preserve"> The methodology involves three main steps: i) food poverty line; ii) non-food poverty line; and iii) poverty headcount and iterations.</w:t>
      </w:r>
    </w:p>
    <w:p w14:paraId="3F959534" w14:textId="3A5F22EE" w:rsidR="00C502F2" w:rsidRDefault="00C502F2" w:rsidP="00C502F2">
      <w:pPr>
        <w:pStyle w:val="Heading2"/>
        <w:rPr>
          <w:rFonts w:ascii="Times New Roman" w:hAnsi="Times New Roman" w:cs="Times New Roman"/>
        </w:rPr>
      </w:pPr>
      <w:r>
        <w:rPr>
          <w:rFonts w:ascii="Times New Roman" w:hAnsi="Times New Roman" w:cs="Times New Roman"/>
        </w:rPr>
        <w:t>Food Poverty Line</w:t>
      </w:r>
    </w:p>
    <w:p w14:paraId="6ECBE3B1" w14:textId="29BEEDD7" w:rsidR="00E13E0B" w:rsidRPr="006E2AFA" w:rsidRDefault="00E13E0B" w:rsidP="00EE0E26">
      <w:pPr>
        <w:jc w:val="both"/>
        <w:rPr>
          <w:rFonts w:cstheme="minorHAnsi"/>
          <w:sz w:val="24"/>
          <w:szCs w:val="24"/>
        </w:rPr>
      </w:pPr>
      <w:r w:rsidRPr="00E13E0B">
        <w:rPr>
          <w:rFonts w:cstheme="minorHAnsi"/>
          <w:sz w:val="24"/>
          <w:szCs w:val="24"/>
        </w:rPr>
        <w:t>The first step is to construct the food poverty line</w:t>
      </w:r>
      <w:r>
        <w:rPr>
          <w:rFonts w:cstheme="minorHAnsi"/>
          <w:sz w:val="24"/>
          <w:szCs w:val="24"/>
        </w:rPr>
        <w:t xml:space="preserve"> by</w:t>
      </w:r>
      <w:r w:rsidRPr="00E13E0B">
        <w:rPr>
          <w:rFonts w:cstheme="minorHAnsi"/>
          <w:sz w:val="24"/>
          <w:szCs w:val="24"/>
        </w:rPr>
        <w:t xml:space="preserve"> estimating the cost of </w:t>
      </w:r>
      <w:r>
        <w:rPr>
          <w:rFonts w:cstheme="minorHAnsi"/>
          <w:sz w:val="24"/>
          <w:szCs w:val="24"/>
        </w:rPr>
        <w:t xml:space="preserve">obtaining </w:t>
      </w:r>
      <w:r w:rsidRPr="00E13E0B">
        <w:rPr>
          <w:rFonts w:cstheme="minorHAnsi"/>
          <w:sz w:val="24"/>
          <w:szCs w:val="24"/>
        </w:rPr>
        <w:t xml:space="preserve">the </w:t>
      </w:r>
      <w:r>
        <w:rPr>
          <w:rFonts w:cstheme="minorHAnsi"/>
          <w:sz w:val="24"/>
          <w:szCs w:val="24"/>
        </w:rPr>
        <w:t xml:space="preserve">minimum </w:t>
      </w:r>
      <w:r>
        <w:rPr>
          <w:rFonts w:cstheme="minorHAnsi"/>
          <w:color w:val="231F20"/>
          <w:sz w:val="24"/>
          <w:szCs w:val="24"/>
        </w:rPr>
        <w:t>nutritional</w:t>
      </w:r>
      <w:r w:rsidRPr="00E13E0B">
        <w:rPr>
          <w:rFonts w:cstheme="minorHAnsi"/>
          <w:color w:val="231F20"/>
          <w:sz w:val="24"/>
          <w:szCs w:val="24"/>
        </w:rPr>
        <w:t xml:space="preserve"> requirement</w:t>
      </w:r>
      <w:r>
        <w:rPr>
          <w:rFonts w:cstheme="minorHAnsi"/>
          <w:color w:val="231F20"/>
          <w:sz w:val="24"/>
          <w:szCs w:val="24"/>
        </w:rPr>
        <w:t xml:space="preserve">. </w:t>
      </w:r>
      <w:r w:rsidRPr="00DD3D2C">
        <w:rPr>
          <w:rFonts w:ascii="Times New Roman" w:hAnsi="Times New Roman" w:cs="Times New Roman"/>
          <w:sz w:val="24"/>
          <w:szCs w:val="24"/>
        </w:rPr>
        <w:t xml:space="preserve">The methodology involves several steps which will be sequentially </w:t>
      </w:r>
      <w:r w:rsidRPr="006E2AFA">
        <w:rPr>
          <w:rFonts w:ascii="Times New Roman" w:hAnsi="Times New Roman" w:cs="Times New Roman"/>
          <w:sz w:val="24"/>
          <w:szCs w:val="24"/>
        </w:rPr>
        <w:t>elaborated below.</w:t>
      </w:r>
    </w:p>
    <w:p w14:paraId="7CDBD6BE" w14:textId="5CBCB211" w:rsidR="006E2A7C" w:rsidRPr="006E2AFA" w:rsidRDefault="00E13E0B" w:rsidP="00EE0E26">
      <w:pPr>
        <w:jc w:val="both"/>
        <w:rPr>
          <w:i/>
          <w:iCs/>
          <w:sz w:val="24"/>
          <w:szCs w:val="24"/>
        </w:rPr>
      </w:pPr>
      <w:r w:rsidRPr="006E2AFA">
        <w:rPr>
          <w:i/>
          <w:iCs/>
          <w:sz w:val="24"/>
          <w:szCs w:val="24"/>
        </w:rPr>
        <w:t>Identify basic n</w:t>
      </w:r>
      <w:r w:rsidR="003C25F3" w:rsidRPr="006E2AFA">
        <w:rPr>
          <w:i/>
          <w:iCs/>
          <w:sz w:val="24"/>
          <w:szCs w:val="24"/>
        </w:rPr>
        <w:t>eeds</w:t>
      </w:r>
      <w:r w:rsidR="006E2AFA">
        <w:rPr>
          <w:i/>
          <w:iCs/>
          <w:sz w:val="24"/>
          <w:szCs w:val="24"/>
        </w:rPr>
        <w:t>.</w:t>
      </w:r>
      <w:r w:rsidR="003C25F3" w:rsidRPr="006E2AFA">
        <w:rPr>
          <w:i/>
          <w:iCs/>
          <w:sz w:val="24"/>
          <w:szCs w:val="24"/>
        </w:rPr>
        <w:t xml:space="preserve"> </w:t>
      </w:r>
      <w:r w:rsidRPr="006E2AFA">
        <w:rPr>
          <w:sz w:val="24"/>
          <w:szCs w:val="24"/>
        </w:rPr>
        <w:t xml:space="preserve">For Saint Lucia, the </w:t>
      </w:r>
      <w:r w:rsidRPr="006E2AFA">
        <w:rPr>
          <w:rFonts w:cstheme="minorHAnsi"/>
          <w:sz w:val="24"/>
          <w:szCs w:val="24"/>
        </w:rPr>
        <w:t>minimum</w:t>
      </w:r>
      <w:r w:rsidRPr="006E2AFA">
        <w:rPr>
          <w:sz w:val="24"/>
          <w:szCs w:val="24"/>
        </w:rPr>
        <w:t xml:space="preserve"> nutritional requirement is defined as 2400 Kcal a day based on a study of WHO (1985).  </w:t>
      </w:r>
    </w:p>
    <w:p w14:paraId="7882F797" w14:textId="51ECF46D" w:rsidR="006E2AFA" w:rsidRDefault="00E13E0B" w:rsidP="00EE0E26">
      <w:pPr>
        <w:autoSpaceDE w:val="0"/>
        <w:autoSpaceDN w:val="0"/>
        <w:adjustRightInd w:val="0"/>
        <w:spacing w:after="0" w:line="240" w:lineRule="auto"/>
        <w:jc w:val="both"/>
        <w:rPr>
          <w:rFonts w:cstheme="minorHAnsi"/>
          <w:sz w:val="24"/>
          <w:szCs w:val="24"/>
        </w:rPr>
      </w:pPr>
      <w:r w:rsidRPr="00EE0E26">
        <w:rPr>
          <w:i/>
          <w:iCs/>
          <w:sz w:val="24"/>
          <w:szCs w:val="24"/>
        </w:rPr>
        <w:t>Identify a Reference Group (RG).</w:t>
      </w:r>
      <w:r w:rsidR="00EE0E26">
        <w:rPr>
          <w:i/>
          <w:iCs/>
          <w:sz w:val="24"/>
          <w:szCs w:val="24"/>
        </w:rPr>
        <w:t xml:space="preserve"> </w:t>
      </w:r>
      <w:r w:rsidR="00EE0E26" w:rsidRPr="00EE0E26">
        <w:rPr>
          <w:rFonts w:cstheme="minorHAnsi"/>
          <w:sz w:val="24"/>
          <w:szCs w:val="24"/>
        </w:rPr>
        <w:t>A reference group is supposed</w:t>
      </w:r>
      <w:r w:rsidR="006E2AFA" w:rsidRPr="00EE0E26">
        <w:rPr>
          <w:rFonts w:cstheme="minorHAnsi"/>
          <w:sz w:val="24"/>
          <w:szCs w:val="24"/>
        </w:rPr>
        <w:t xml:space="preserve"> to represent the consumption patterns of those household</w:t>
      </w:r>
      <w:r w:rsidR="00EE0E26" w:rsidRPr="00EE0E26">
        <w:rPr>
          <w:rFonts w:cstheme="minorHAnsi"/>
          <w:sz w:val="24"/>
          <w:szCs w:val="24"/>
        </w:rPr>
        <w:t>s</w:t>
      </w:r>
      <w:r w:rsidR="006E2AFA" w:rsidRPr="00EE0E26">
        <w:rPr>
          <w:rFonts w:cstheme="minorHAnsi"/>
          <w:sz w:val="24"/>
          <w:szCs w:val="24"/>
        </w:rPr>
        <w:t xml:space="preserve"> around the poverty threshold. Thus, this group is meant to include people above and below the poverty line.</w:t>
      </w:r>
      <w:r w:rsidR="00EE0E26" w:rsidRPr="00EE0E26">
        <w:rPr>
          <w:rFonts w:cstheme="minorHAnsi"/>
          <w:sz w:val="24"/>
          <w:szCs w:val="24"/>
        </w:rPr>
        <w:t xml:space="preserve"> </w:t>
      </w:r>
      <w:r w:rsidR="00EE0E26">
        <w:rPr>
          <w:rFonts w:cstheme="minorHAnsi"/>
          <w:color w:val="231F20"/>
          <w:sz w:val="24"/>
          <w:szCs w:val="24"/>
        </w:rPr>
        <w:t>F</w:t>
      </w:r>
      <w:r w:rsidR="00EE0E26" w:rsidRPr="00EE0E26">
        <w:rPr>
          <w:rFonts w:cstheme="minorHAnsi"/>
          <w:color w:val="231F20"/>
          <w:sz w:val="24"/>
          <w:szCs w:val="24"/>
        </w:rPr>
        <w:t>or example, those in the</w:t>
      </w:r>
      <w:r w:rsidR="00EE0E26">
        <w:rPr>
          <w:rFonts w:cstheme="minorHAnsi"/>
          <w:color w:val="231F20"/>
          <w:sz w:val="24"/>
          <w:szCs w:val="24"/>
        </w:rPr>
        <w:t xml:space="preserve"> </w:t>
      </w:r>
      <w:r w:rsidR="00EE0E26" w:rsidRPr="00EE0E26">
        <w:rPr>
          <w:rFonts w:cstheme="minorHAnsi"/>
          <w:color w:val="231F20"/>
          <w:sz w:val="24"/>
          <w:szCs w:val="24"/>
        </w:rPr>
        <w:t>lowest, or second-lowest, quintile of the income d</w:t>
      </w:r>
      <w:r w:rsidR="00EE0E26">
        <w:rPr>
          <w:rFonts w:cstheme="minorHAnsi"/>
          <w:color w:val="231F20"/>
          <w:sz w:val="24"/>
          <w:szCs w:val="24"/>
        </w:rPr>
        <w:t xml:space="preserve">istribution; or those consuming </w:t>
      </w:r>
      <w:r w:rsidR="00A06A66">
        <w:rPr>
          <w:rFonts w:cstheme="minorHAnsi"/>
          <w:color w:val="231F20"/>
          <w:sz w:val="24"/>
          <w:szCs w:val="24"/>
        </w:rPr>
        <w:t>between 23</w:t>
      </w:r>
      <w:r w:rsidR="00EE0E26" w:rsidRPr="00EE0E26">
        <w:rPr>
          <w:rFonts w:cstheme="minorHAnsi"/>
          <w:color w:val="231F20"/>
          <w:sz w:val="24"/>
          <w:szCs w:val="24"/>
        </w:rPr>
        <w:t>00 and 2</w:t>
      </w:r>
      <w:r w:rsidR="00A06A66">
        <w:rPr>
          <w:rFonts w:cstheme="minorHAnsi"/>
          <w:color w:val="231F20"/>
          <w:sz w:val="24"/>
          <w:szCs w:val="24"/>
        </w:rPr>
        <w:t>5</w:t>
      </w:r>
      <w:r w:rsidR="00EE0E26" w:rsidRPr="00EE0E26">
        <w:rPr>
          <w:rFonts w:cstheme="minorHAnsi"/>
          <w:color w:val="231F20"/>
          <w:sz w:val="24"/>
          <w:szCs w:val="24"/>
        </w:rPr>
        <w:t xml:space="preserve">00 </w:t>
      </w:r>
      <w:r w:rsidR="00EE0E26" w:rsidRPr="006E2AFA">
        <w:rPr>
          <w:sz w:val="24"/>
          <w:szCs w:val="24"/>
        </w:rPr>
        <w:t>Kcal</w:t>
      </w:r>
      <w:r w:rsidR="00EE0E26">
        <w:rPr>
          <w:rFonts w:cstheme="minorHAnsi"/>
          <w:color w:val="231F20"/>
          <w:sz w:val="24"/>
          <w:szCs w:val="24"/>
        </w:rPr>
        <w:t xml:space="preserve">. </w:t>
      </w:r>
      <w:r w:rsidR="00EE0E26" w:rsidRPr="00EE0E26">
        <w:rPr>
          <w:rFonts w:cstheme="minorHAnsi"/>
          <w:sz w:val="24"/>
          <w:szCs w:val="24"/>
        </w:rPr>
        <w:t xml:space="preserve">An initial choice of the </w:t>
      </w:r>
      <w:r w:rsidR="00EE0E26">
        <w:rPr>
          <w:rFonts w:cstheme="minorHAnsi"/>
          <w:sz w:val="24"/>
          <w:szCs w:val="24"/>
        </w:rPr>
        <w:t xml:space="preserve">reference </w:t>
      </w:r>
      <w:r w:rsidR="00EE0E26" w:rsidRPr="00EE0E26">
        <w:rPr>
          <w:rFonts w:cstheme="minorHAnsi"/>
          <w:sz w:val="24"/>
          <w:szCs w:val="24"/>
        </w:rPr>
        <w:t>group is guessed and arbitrary, but expected to contain the poverty rate after all the calculations.</w:t>
      </w:r>
    </w:p>
    <w:p w14:paraId="415A2427" w14:textId="57E7FFEB" w:rsidR="00EE0E26" w:rsidRPr="00EE0E26" w:rsidRDefault="00EE0E26" w:rsidP="00EE0E26">
      <w:pPr>
        <w:spacing w:before="120" w:after="240" w:line="276" w:lineRule="auto"/>
        <w:jc w:val="both"/>
        <w:rPr>
          <w:bCs/>
          <w:sz w:val="24"/>
          <w:szCs w:val="24"/>
        </w:rPr>
      </w:pPr>
      <w:r w:rsidRPr="00EE0E26">
        <w:rPr>
          <w:bCs/>
          <w:i/>
          <w:iCs/>
          <w:sz w:val="24"/>
          <w:szCs w:val="24"/>
        </w:rPr>
        <w:t>Construction of the food basket.</w:t>
      </w:r>
      <w:r w:rsidRPr="00EE0E26">
        <w:rPr>
          <w:bCs/>
          <w:sz w:val="24"/>
          <w:szCs w:val="24"/>
        </w:rPr>
        <w:t xml:space="preserve"> </w:t>
      </w:r>
      <w:r>
        <w:rPr>
          <w:bCs/>
          <w:sz w:val="24"/>
          <w:szCs w:val="24"/>
        </w:rPr>
        <w:t>This step constructs</w:t>
      </w:r>
      <w:r w:rsidRPr="00EE0E26">
        <w:rPr>
          <w:bCs/>
          <w:sz w:val="24"/>
          <w:szCs w:val="24"/>
        </w:rPr>
        <w:t xml:space="preserve"> a food basket that represents the consumption patterns of </w:t>
      </w:r>
      <w:r>
        <w:rPr>
          <w:bCs/>
          <w:sz w:val="24"/>
          <w:szCs w:val="24"/>
        </w:rPr>
        <w:t>the reference group.</w:t>
      </w:r>
      <w:r w:rsidRPr="00EE0E26">
        <w:rPr>
          <w:bCs/>
          <w:sz w:val="24"/>
          <w:szCs w:val="24"/>
        </w:rPr>
        <w:t xml:space="preserve"> </w:t>
      </w:r>
      <w:r w:rsidR="00E2668D">
        <w:rPr>
          <w:bCs/>
          <w:sz w:val="24"/>
          <w:szCs w:val="24"/>
        </w:rPr>
        <w:t>The</w:t>
      </w:r>
      <w:r w:rsidRPr="00EE0E26">
        <w:rPr>
          <w:bCs/>
          <w:sz w:val="24"/>
          <w:szCs w:val="24"/>
        </w:rPr>
        <w:t xml:space="preserve"> basket comprises a list of food items that meet the following </w:t>
      </w:r>
      <w:r w:rsidRPr="00EE0E26">
        <w:rPr>
          <w:bCs/>
          <w:i/>
          <w:sz w:val="24"/>
          <w:szCs w:val="24"/>
        </w:rPr>
        <w:t>empirical</w:t>
      </w:r>
      <w:r w:rsidRPr="00EE0E26">
        <w:rPr>
          <w:bCs/>
          <w:sz w:val="24"/>
          <w:szCs w:val="24"/>
        </w:rPr>
        <w:t xml:space="preserve"> criteria that has been applied in several countries.</w:t>
      </w:r>
      <w:r w:rsidRPr="00EE0E26">
        <w:rPr>
          <w:rStyle w:val="FootnoteReference"/>
          <w:bCs/>
          <w:sz w:val="24"/>
          <w:szCs w:val="24"/>
        </w:rPr>
        <w:footnoteReference w:id="4"/>
      </w:r>
      <w:r w:rsidRPr="00EE0E26">
        <w:rPr>
          <w:bCs/>
          <w:sz w:val="24"/>
          <w:szCs w:val="24"/>
        </w:rPr>
        <w:t xml:space="preserve"> Nonetheless, these criteria are flexible and should be discussed in the poverty committee.</w:t>
      </w:r>
    </w:p>
    <w:p w14:paraId="3A29CB2D" w14:textId="6CD5B24E" w:rsidR="00EE0E26" w:rsidRPr="00EE0E26" w:rsidRDefault="00EE0E26" w:rsidP="00CD2B6C">
      <w:pPr>
        <w:pStyle w:val="ListParagraph"/>
        <w:numPr>
          <w:ilvl w:val="1"/>
          <w:numId w:val="6"/>
        </w:numPr>
        <w:spacing w:after="0" w:line="276" w:lineRule="auto"/>
        <w:contextualSpacing w:val="0"/>
        <w:jc w:val="both"/>
        <w:rPr>
          <w:bCs/>
          <w:sz w:val="24"/>
          <w:szCs w:val="24"/>
        </w:rPr>
      </w:pPr>
      <w:r w:rsidRPr="00EE0E26">
        <w:rPr>
          <w:bCs/>
          <w:sz w:val="24"/>
          <w:szCs w:val="24"/>
        </w:rPr>
        <w:t xml:space="preserve">The item is consumed by at least 30% </w:t>
      </w:r>
      <w:r>
        <w:rPr>
          <w:bCs/>
          <w:sz w:val="24"/>
          <w:szCs w:val="24"/>
        </w:rPr>
        <w:t>of households in the reference group</w:t>
      </w:r>
      <w:r w:rsidRPr="00EE0E26">
        <w:rPr>
          <w:bCs/>
          <w:sz w:val="24"/>
          <w:szCs w:val="24"/>
        </w:rPr>
        <w:t>.</w:t>
      </w:r>
    </w:p>
    <w:p w14:paraId="70646379" w14:textId="2717DA3F" w:rsidR="00EE0E26" w:rsidRPr="00EE0E26" w:rsidRDefault="00EE0E26" w:rsidP="00CD2B6C">
      <w:pPr>
        <w:pStyle w:val="ListParagraph"/>
        <w:numPr>
          <w:ilvl w:val="1"/>
          <w:numId w:val="6"/>
        </w:numPr>
        <w:spacing w:after="0" w:line="276" w:lineRule="auto"/>
        <w:contextualSpacing w:val="0"/>
        <w:jc w:val="both"/>
        <w:rPr>
          <w:bCs/>
          <w:sz w:val="24"/>
          <w:szCs w:val="24"/>
        </w:rPr>
      </w:pPr>
      <w:r w:rsidRPr="00EE0E26">
        <w:rPr>
          <w:bCs/>
          <w:sz w:val="24"/>
          <w:szCs w:val="24"/>
        </w:rPr>
        <w:t xml:space="preserve">The item represents at least 1% of the total food expenditure of </w:t>
      </w:r>
      <w:r w:rsidR="00D63806">
        <w:rPr>
          <w:bCs/>
          <w:sz w:val="24"/>
          <w:szCs w:val="24"/>
        </w:rPr>
        <w:t>the reference group</w:t>
      </w:r>
      <w:r w:rsidR="00D63806" w:rsidRPr="00EE0E26">
        <w:rPr>
          <w:bCs/>
          <w:sz w:val="24"/>
          <w:szCs w:val="24"/>
        </w:rPr>
        <w:t>.</w:t>
      </w:r>
    </w:p>
    <w:p w14:paraId="564908E6" w14:textId="77777777" w:rsidR="00EE0E26" w:rsidRPr="00EE0E26" w:rsidRDefault="00EE0E26" w:rsidP="00CD2B6C">
      <w:pPr>
        <w:pStyle w:val="ListParagraph"/>
        <w:numPr>
          <w:ilvl w:val="1"/>
          <w:numId w:val="6"/>
        </w:numPr>
        <w:spacing w:after="0" w:line="276" w:lineRule="auto"/>
        <w:contextualSpacing w:val="0"/>
        <w:jc w:val="both"/>
        <w:rPr>
          <w:bCs/>
          <w:sz w:val="24"/>
          <w:szCs w:val="24"/>
        </w:rPr>
      </w:pPr>
      <w:r w:rsidRPr="00EE0E26">
        <w:rPr>
          <w:bCs/>
          <w:sz w:val="24"/>
          <w:szCs w:val="24"/>
        </w:rPr>
        <w:t xml:space="preserve">The item provides at least 1% of the total calories consumed. </w:t>
      </w:r>
    </w:p>
    <w:p w14:paraId="4AE747C8" w14:textId="591C5AAB" w:rsidR="00EE0E26" w:rsidRPr="00EE0E26" w:rsidRDefault="00EE0E26" w:rsidP="00CD2B6C">
      <w:pPr>
        <w:pStyle w:val="ListParagraph"/>
        <w:numPr>
          <w:ilvl w:val="1"/>
          <w:numId w:val="6"/>
        </w:numPr>
        <w:spacing w:after="0" w:line="276" w:lineRule="auto"/>
        <w:contextualSpacing w:val="0"/>
        <w:jc w:val="both"/>
        <w:rPr>
          <w:bCs/>
          <w:sz w:val="24"/>
          <w:szCs w:val="24"/>
        </w:rPr>
      </w:pPr>
      <w:r w:rsidRPr="00EE0E26">
        <w:rPr>
          <w:bCs/>
          <w:sz w:val="24"/>
          <w:szCs w:val="24"/>
        </w:rPr>
        <w:t xml:space="preserve">The item represents at least 0.5% of the total food acquisitions of </w:t>
      </w:r>
      <w:r w:rsidR="00E2668D">
        <w:rPr>
          <w:bCs/>
          <w:sz w:val="24"/>
          <w:szCs w:val="24"/>
        </w:rPr>
        <w:t>the reference group</w:t>
      </w:r>
      <w:r w:rsidR="00E2668D" w:rsidRPr="00EE0E26">
        <w:rPr>
          <w:bCs/>
          <w:sz w:val="24"/>
          <w:szCs w:val="24"/>
        </w:rPr>
        <w:t>.</w:t>
      </w:r>
    </w:p>
    <w:p w14:paraId="25B99089" w14:textId="3F536665" w:rsidR="00EE0E26" w:rsidRPr="00EE0E26" w:rsidRDefault="00EE0E26" w:rsidP="00CD2B6C">
      <w:pPr>
        <w:pStyle w:val="ListParagraph"/>
        <w:numPr>
          <w:ilvl w:val="1"/>
          <w:numId w:val="6"/>
        </w:numPr>
        <w:spacing w:after="0" w:line="276" w:lineRule="auto"/>
        <w:contextualSpacing w:val="0"/>
        <w:jc w:val="both"/>
        <w:rPr>
          <w:bCs/>
          <w:sz w:val="24"/>
          <w:szCs w:val="24"/>
        </w:rPr>
      </w:pPr>
      <w:r w:rsidRPr="00EE0E26">
        <w:rPr>
          <w:bCs/>
          <w:sz w:val="24"/>
          <w:szCs w:val="24"/>
        </w:rPr>
        <w:t>The monetary value of the food basket represents at least the 80% of the average food expenditure of</w:t>
      </w:r>
      <w:r w:rsidR="00E2668D" w:rsidRPr="00EE0E26">
        <w:rPr>
          <w:bCs/>
          <w:sz w:val="24"/>
          <w:szCs w:val="24"/>
        </w:rPr>
        <w:t xml:space="preserve"> </w:t>
      </w:r>
      <w:r w:rsidR="00E2668D">
        <w:rPr>
          <w:bCs/>
          <w:sz w:val="24"/>
          <w:szCs w:val="24"/>
        </w:rPr>
        <w:t>the reference group</w:t>
      </w:r>
      <w:r w:rsidR="00E2668D" w:rsidRPr="00EE0E26">
        <w:rPr>
          <w:bCs/>
          <w:sz w:val="24"/>
          <w:szCs w:val="24"/>
        </w:rPr>
        <w:t>.</w:t>
      </w:r>
    </w:p>
    <w:p w14:paraId="5477100E" w14:textId="1AD0D355" w:rsidR="00EE0E26" w:rsidRDefault="00E2668D" w:rsidP="00EE0E26">
      <w:pPr>
        <w:autoSpaceDE w:val="0"/>
        <w:autoSpaceDN w:val="0"/>
        <w:adjustRightInd w:val="0"/>
        <w:spacing w:after="0" w:line="240" w:lineRule="auto"/>
        <w:jc w:val="both"/>
        <w:rPr>
          <w:rFonts w:cstheme="minorHAnsi"/>
          <w:i/>
          <w:iCs/>
          <w:color w:val="231F20"/>
          <w:sz w:val="24"/>
          <w:szCs w:val="24"/>
        </w:rPr>
      </w:pPr>
      <w:r>
        <w:rPr>
          <w:rFonts w:cstheme="minorHAnsi"/>
          <w:i/>
          <w:iCs/>
          <w:color w:val="231F20"/>
          <w:sz w:val="24"/>
          <w:szCs w:val="24"/>
        </w:rPr>
        <w:t>Calculate the cost of the minimum nutritional requirement.</w:t>
      </w:r>
    </w:p>
    <w:p w14:paraId="58481F25" w14:textId="3CD65D77" w:rsidR="00274CC7" w:rsidRDefault="00274CC7" w:rsidP="00EE0E26">
      <w:pPr>
        <w:autoSpaceDE w:val="0"/>
        <w:autoSpaceDN w:val="0"/>
        <w:adjustRightInd w:val="0"/>
        <w:spacing w:after="0" w:line="240" w:lineRule="auto"/>
        <w:jc w:val="both"/>
        <w:rPr>
          <w:rFonts w:cstheme="minorHAnsi"/>
          <w:color w:val="231F20"/>
          <w:sz w:val="24"/>
          <w:szCs w:val="24"/>
        </w:rPr>
      </w:pPr>
    </w:p>
    <w:p w14:paraId="06CC7B5F" w14:textId="6CB8A77F" w:rsidR="00274CC7" w:rsidRPr="00EE0E26" w:rsidRDefault="00274CC7" w:rsidP="00EE0E26">
      <w:pPr>
        <w:autoSpaceDE w:val="0"/>
        <w:autoSpaceDN w:val="0"/>
        <w:adjustRightInd w:val="0"/>
        <w:spacing w:after="0" w:line="240" w:lineRule="auto"/>
        <w:jc w:val="both"/>
        <w:rPr>
          <w:rFonts w:cstheme="minorHAnsi"/>
          <w:color w:val="231F20"/>
          <w:sz w:val="24"/>
          <w:szCs w:val="24"/>
        </w:rPr>
      </w:pPr>
      <w:r>
        <w:rPr>
          <w:rFonts w:cstheme="minorHAnsi"/>
          <w:i/>
          <w:iCs/>
          <w:color w:val="231F20"/>
          <w:sz w:val="24"/>
          <w:szCs w:val="24"/>
        </w:rPr>
        <w:t>Alternative approach</w:t>
      </w:r>
      <w:bookmarkStart w:id="10" w:name="_GoBack"/>
      <w:bookmarkEnd w:id="10"/>
    </w:p>
    <w:p w14:paraId="52628884" w14:textId="4B79A70F" w:rsidR="00F222AB" w:rsidRPr="00B65056" w:rsidRDefault="00F222AB" w:rsidP="00C502F2">
      <w:pPr>
        <w:pStyle w:val="Heading1"/>
      </w:pPr>
      <w:bookmarkStart w:id="11" w:name="_Toc501363544"/>
      <w:r w:rsidRPr="00B65056">
        <w:t>Income Poverty Line</w:t>
      </w:r>
      <w:bookmarkEnd w:id="11"/>
    </w:p>
    <w:sectPr w:rsidR="00F222AB" w:rsidRPr="00B650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Tanida Arayavechkit" w:date="2017-12-14T13:41:00Z" w:initials="TA">
    <w:p w14:paraId="357F385D" w14:textId="716368A9" w:rsidR="00A06A66" w:rsidRDefault="00A06A66">
      <w:pPr>
        <w:pStyle w:val="CommentText"/>
      </w:pPr>
      <w:r>
        <w:rPr>
          <w:rStyle w:val="CommentReference"/>
        </w:rPr>
        <w:annotationRef/>
      </w:r>
      <w:r>
        <w:t>St Lucia does not adjust for spatial price differences.</w:t>
      </w:r>
    </w:p>
  </w:comment>
  <w:comment w:id="6" w:author="Tanida Arayavechkit" w:date="2017-12-14T15:53:00Z" w:initials="TA">
    <w:p w14:paraId="5F987DA0" w14:textId="77777777" w:rsidR="00A06A66" w:rsidRDefault="00A06A66" w:rsidP="00B7536F">
      <w:pPr>
        <w:pStyle w:val="CommentText"/>
      </w:pPr>
      <w:r>
        <w:rPr>
          <w:rStyle w:val="CommentReference"/>
        </w:rPr>
        <w:annotationRef/>
      </w:r>
      <w:r>
        <w:t>Natalia, please double 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7F385D" w15:done="0"/>
  <w15:commentEx w15:paraId="5F987DA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10D0E" w14:textId="77777777" w:rsidR="00A06A66" w:rsidRDefault="00A06A66" w:rsidP="00D02E8A">
      <w:pPr>
        <w:spacing w:after="0" w:line="240" w:lineRule="auto"/>
      </w:pPr>
      <w:r>
        <w:separator/>
      </w:r>
    </w:p>
  </w:endnote>
  <w:endnote w:type="continuationSeparator" w:id="0">
    <w:p w14:paraId="071B65FB" w14:textId="77777777" w:rsidR="00A06A66" w:rsidRDefault="00A06A66" w:rsidP="00D0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ngsana New">
    <w:altName w:val="Leelawadee UI"/>
    <w:panose1 w:val="02020603050405020304"/>
    <w:charset w:val="DE"/>
    <w:family w:val="roman"/>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ordia New">
    <w:altName w:val="Leelawadee UI"/>
    <w:panose1 w:val="020B0304020202020204"/>
    <w:charset w:val="DE"/>
    <w:family w:val="roman"/>
    <w:pitch w:val="variable"/>
    <w:sig w:usb0="01000000"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B33F9" w14:textId="77777777" w:rsidR="00A06A66" w:rsidRDefault="00A06A66" w:rsidP="00D02E8A">
      <w:pPr>
        <w:spacing w:after="0" w:line="240" w:lineRule="auto"/>
      </w:pPr>
      <w:r>
        <w:separator/>
      </w:r>
    </w:p>
  </w:footnote>
  <w:footnote w:type="continuationSeparator" w:id="0">
    <w:p w14:paraId="73109AD4" w14:textId="77777777" w:rsidR="00A06A66" w:rsidRDefault="00A06A66" w:rsidP="00D02E8A">
      <w:pPr>
        <w:spacing w:after="0" w:line="240" w:lineRule="auto"/>
      </w:pPr>
      <w:r>
        <w:continuationSeparator/>
      </w:r>
    </w:p>
  </w:footnote>
  <w:footnote w:id="1">
    <w:p w14:paraId="11D3713F" w14:textId="4A3E3277" w:rsidR="00A06A66" w:rsidRPr="00A06253" w:rsidRDefault="00A06A66">
      <w:pPr>
        <w:pStyle w:val="FootnoteText"/>
        <w:rPr>
          <w:rFonts w:cstheme="minorHAnsi"/>
          <w:sz w:val="18"/>
          <w:szCs w:val="18"/>
        </w:rPr>
      </w:pPr>
      <w:r w:rsidRPr="00A06253">
        <w:rPr>
          <w:rStyle w:val="FootnoteReference"/>
          <w:rFonts w:cstheme="minorHAnsi"/>
          <w:sz w:val="18"/>
          <w:szCs w:val="18"/>
        </w:rPr>
        <w:footnoteRef/>
      </w:r>
      <w:r w:rsidRPr="00A06253">
        <w:rPr>
          <w:rFonts w:cstheme="minorHAnsi"/>
          <w:sz w:val="18"/>
          <w:szCs w:val="18"/>
        </w:rPr>
        <w:t xml:space="preserve"> Divisions 13-14 cover consumption expenditure of </w:t>
      </w:r>
      <w:r w:rsidRPr="00A06253">
        <w:rPr>
          <w:rFonts w:cstheme="minorHAnsi"/>
          <w:color w:val="000000"/>
          <w:sz w:val="18"/>
          <w:szCs w:val="18"/>
          <w:shd w:val="clear" w:color="auto" w:fill="FFFFFF"/>
        </w:rPr>
        <w:t>non-profit institutions serving households and general government.</w:t>
      </w:r>
    </w:p>
  </w:footnote>
  <w:footnote w:id="2">
    <w:p w14:paraId="5F3A5519" w14:textId="77777777" w:rsidR="00A06A66" w:rsidRPr="00A06253" w:rsidRDefault="00A06A66" w:rsidP="008E590F">
      <w:pPr>
        <w:pStyle w:val="Footnote"/>
        <w:rPr>
          <w:rFonts w:asciiTheme="minorHAnsi" w:hAnsiTheme="minorHAnsi" w:cstheme="minorHAnsi"/>
          <w:sz w:val="18"/>
          <w:szCs w:val="18"/>
        </w:rPr>
      </w:pPr>
      <w:r w:rsidRPr="00A06253">
        <w:rPr>
          <w:rStyle w:val="FootnoteReference"/>
          <w:rFonts w:asciiTheme="minorHAnsi" w:eastAsiaTheme="majorEastAsia" w:hAnsiTheme="minorHAnsi" w:cstheme="minorHAnsi"/>
          <w:sz w:val="18"/>
          <w:szCs w:val="18"/>
        </w:rPr>
        <w:footnoteRef/>
      </w:r>
      <w:r w:rsidRPr="00A06253">
        <w:rPr>
          <w:rFonts w:asciiTheme="minorHAnsi" w:hAnsiTheme="minorHAnsi" w:cstheme="minorHAnsi"/>
          <w:sz w:val="18"/>
          <w:szCs w:val="18"/>
        </w:rPr>
        <w:t xml:space="preserve"> </w:t>
      </w:r>
      <w:r w:rsidRPr="00A06253">
        <w:rPr>
          <w:rFonts w:asciiTheme="minorHAnsi" w:eastAsiaTheme="minorHAnsi" w:hAnsiTheme="minorHAnsi" w:cstheme="minorHAnsi"/>
          <w:sz w:val="18"/>
          <w:szCs w:val="18"/>
        </w:rPr>
        <w:t>Deaton, A. and S. Zaidi (2002), </w:t>
      </w:r>
      <w:hyperlink r:id="rId1" w:history="1">
        <w:r w:rsidRPr="00A06253">
          <w:rPr>
            <w:rFonts w:asciiTheme="minorHAnsi" w:eastAsiaTheme="minorHAnsi" w:hAnsiTheme="minorHAnsi" w:cstheme="minorHAnsi"/>
            <w:sz w:val="18"/>
            <w:szCs w:val="18"/>
          </w:rPr>
          <w:t>A Guide to Aggregating Consumption Expenditures, Living Standards Measurement Study</w:t>
        </w:r>
      </w:hyperlink>
      <w:r w:rsidRPr="00A06253">
        <w:rPr>
          <w:rFonts w:asciiTheme="minorHAnsi" w:eastAsiaTheme="minorHAnsi" w:hAnsiTheme="minorHAnsi" w:cstheme="minorHAnsi"/>
          <w:sz w:val="18"/>
          <w:szCs w:val="18"/>
        </w:rPr>
        <w:t>, Working Paper 135.</w:t>
      </w:r>
    </w:p>
  </w:footnote>
  <w:footnote w:id="3">
    <w:p w14:paraId="25DC3390" w14:textId="77777777" w:rsidR="00A06A66" w:rsidRPr="00451B65" w:rsidRDefault="00A06A66" w:rsidP="00C10769">
      <w:pPr>
        <w:pStyle w:val="FootnoteText"/>
        <w:jc w:val="both"/>
        <w:rPr>
          <w:rFonts w:ascii="Times New Roman" w:hAnsi="Times New Roman" w:cs="Times New Roman"/>
        </w:rPr>
      </w:pPr>
      <w:r w:rsidRPr="00A06253">
        <w:rPr>
          <w:rStyle w:val="FootnoteReference"/>
          <w:rFonts w:cstheme="minorHAnsi"/>
          <w:sz w:val="18"/>
          <w:szCs w:val="18"/>
        </w:rPr>
        <w:footnoteRef/>
      </w:r>
      <w:r w:rsidRPr="00A06253">
        <w:rPr>
          <w:rFonts w:cstheme="minorHAnsi"/>
          <w:sz w:val="18"/>
          <w:szCs w:val="18"/>
        </w:rPr>
        <w:t xml:space="preserve"> </w:t>
      </w:r>
      <w:r w:rsidRPr="00A06253">
        <w:rPr>
          <w:rFonts w:cstheme="minorHAnsi"/>
          <w:color w:val="000000"/>
          <w:sz w:val="18"/>
          <w:szCs w:val="18"/>
          <w:shd w:val="clear" w:color="auto" w:fill="FFFFFF"/>
        </w:rPr>
        <w:t>Haughton, Jonathan; Khandker, Shahidur R.. 2009. </w:t>
      </w:r>
      <w:r w:rsidRPr="00A06253">
        <w:rPr>
          <w:rFonts w:cstheme="minorHAnsi"/>
          <w:i/>
          <w:iCs/>
          <w:color w:val="000000"/>
          <w:sz w:val="18"/>
          <w:szCs w:val="18"/>
          <w:bdr w:val="none" w:sz="0" w:space="0" w:color="auto" w:frame="1"/>
          <w:shd w:val="clear" w:color="auto" w:fill="FFFFFF"/>
        </w:rPr>
        <w:t>Handbook on poverty and inequality</w:t>
      </w:r>
      <w:r w:rsidRPr="00A06253">
        <w:rPr>
          <w:rFonts w:cstheme="minorHAnsi"/>
          <w:color w:val="000000"/>
          <w:sz w:val="18"/>
          <w:szCs w:val="18"/>
          <w:shd w:val="clear" w:color="auto" w:fill="FFFFFF"/>
        </w:rPr>
        <w:t>. Washington, DC: World Bank. http://documents.worldbank.org/curated/en/488081468157174849/Handbook-on-poverty-and-inequality</w:t>
      </w:r>
    </w:p>
  </w:footnote>
  <w:footnote w:id="4">
    <w:p w14:paraId="75036980" w14:textId="77777777" w:rsidR="00A06A66" w:rsidRDefault="00A06A66" w:rsidP="00EE0E26">
      <w:pPr>
        <w:pStyle w:val="FootnoteText"/>
      </w:pPr>
      <w:r>
        <w:rPr>
          <w:rStyle w:val="FootnoteReference"/>
        </w:rPr>
        <w:footnoteRef/>
      </w:r>
      <w:r>
        <w:t xml:space="preserve"> See for example the cases of Colombia </w:t>
      </w:r>
      <w:r>
        <w:fldChar w:fldCharType="begin"/>
      </w:r>
      <w:r>
        <w:instrText xml:space="preserve"> ADDIN ZOTERO_ITEM CSL_CITATION {"citationID":"IO2XZRIh","properties":{"formattedCitation":"(MESEP 2012, 51)","plainCitation":"(MESEP 2012, 51)"},"citationItems":[{"id":641,"uris":["http://zotero.org/users/1982691/items/8MMAN8CJ"],"uri":["http://zotero.org/users/1982691/items/8MMAN8CJ"],"itemData":{"id":641,"type":"report","title":"Monetary Poverty in Colombia: New methodology and 2002</w:instrText>
      </w:r>
      <w:r>
        <w:rPr>
          <w:rFonts w:ascii="Cambria Math" w:hAnsi="Cambria Math" w:cs="Cambria Math"/>
        </w:rPr>
        <w:instrText>‐</w:instrText>
      </w:r>
      <w:r>
        <w:instrText>2010 figures","collection-title":"MESEP Series","publisher":"DANE and DNP","publisher-place":"Bogot</w:instrText>
      </w:r>
      <w:r>
        <w:rPr>
          <w:rFonts w:cs="Bell MT"/>
        </w:rPr>
        <w:instrText>á</w:instrText>
      </w:r>
      <w:r>
        <w:instrText>, Colombia","genre":"Official","event-place":"Bogot</w:instrText>
      </w:r>
      <w:r>
        <w:rPr>
          <w:rFonts w:cs="Bell MT"/>
        </w:rPr>
        <w:instrText>á</w:instrText>
      </w:r>
      <w:r>
        <w:instrText xml:space="preserve">, Colombia","URL":"https://www.dane.gov.co/files/investigaciones/condiciones_vida/pobreza/ingles/Monetary%20Poverty%20in%20Colombia.pdf","shortTitle":"Monetary Poverty in Colombia","language":"English","author":[{"family":"MESEP","given":""}],"issued":{"date-parts":[["2012"]],"season":"Ferery"},"accessed":{"date-parts":[["2015",3,12]]}},"locator":"51"}],"schema":"https://github.com/citation-style-language/schema/raw/master/csl-citation.json"} </w:instrText>
      </w:r>
      <w:r>
        <w:fldChar w:fldCharType="separate"/>
      </w:r>
      <w:r w:rsidRPr="00E53C2A">
        <w:t>(MESEP 2012, 51)</w:t>
      </w:r>
      <w:r>
        <w:fldChar w:fldCharType="end"/>
      </w:r>
      <w:r>
        <w:t xml:space="preserve"> and Dominican Republic </w:t>
      </w:r>
      <w:r>
        <w:fldChar w:fldCharType="begin"/>
      </w:r>
      <w:r>
        <w:instrText xml:space="preserve"> ADDIN ZOTERO_ITEM CSL_CITATION {"citationID":"l87LoE1u","properties":{"formattedCitation":"{\\rtf (MEPYD, ONE, and Banco Central de la Rep\\uc0\\u250{}blica Dominicana 2012, 21)}","plainCitation":"(MEPYD, ONE, and Banco Central de la República Dominicana 2012, 21)"},"citationItems":[{"id":642,"uris":["http://zotero.org/users/1982691/items/V46SIU2D"],"uri":["http://zotero.org/users/1982691/items/V46SIU2D"],"itemData":{"id":642,"type":"report","title":"Metodología para el Cálculo de la Medición de la Pobreza Oficial en la República Dominicana","publisher":"ONE","publisher-place":"Dominican Republic","genre":"Official","event-place":"Dominican Republic","URL":"https://www.dane.gov.co/files/investigaciones/condiciones_vida/pobreza/ingles/Monetary%20Poverty%20in%20Colombia.pdf","language":"Spanish","author":[{"family":"MEPYD","given":""},{"family":"ONE","given":""},{"family":"Banco Central de la República Dominicana","given":""}],"issued":{"date-parts":[["2012",7]]},"accessed":{"date-parts":[["2015",3,11]]}},"locator":"21"}],"schema":"https://github.com/citation-style-language/schema/raw/master/csl-citation.json"} </w:instrText>
      </w:r>
      <w:r>
        <w:fldChar w:fldCharType="separate"/>
      </w:r>
      <w:r w:rsidRPr="00E53C2A">
        <w:rPr>
          <w:szCs w:val="24"/>
        </w:rPr>
        <w:t>(MEPYD, ONE, and Banco Central de la República Dominicana 2012, 21)</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E2409"/>
    <w:multiLevelType w:val="hybridMultilevel"/>
    <w:tmpl w:val="48D4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4740D0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F06492"/>
    <w:multiLevelType w:val="hybridMultilevel"/>
    <w:tmpl w:val="0040CF98"/>
    <w:lvl w:ilvl="0" w:tplc="E870BF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508DF"/>
    <w:multiLevelType w:val="hybridMultilevel"/>
    <w:tmpl w:val="E412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D6F60"/>
    <w:multiLevelType w:val="multilevel"/>
    <w:tmpl w:val="4CD02648"/>
    <w:lvl w:ilvl="0">
      <w:start w:val="1"/>
      <w:numFmt w:val="decimal"/>
      <w:lvlText w:val="%1."/>
      <w:lvlJc w:val="left"/>
      <w:pPr>
        <w:ind w:left="936" w:hanging="360"/>
      </w:pPr>
      <w:rPr>
        <w:rFonts w:hint="default"/>
      </w:rPr>
    </w:lvl>
    <w:lvl w:ilvl="1">
      <w:start w:val="1"/>
      <w:numFmt w:val="lowerRoman"/>
      <w:lvlText w:val="%2."/>
      <w:lvlJc w:val="right"/>
      <w:pPr>
        <w:ind w:left="1656" w:hanging="360"/>
      </w:pPr>
      <w:rPr>
        <w:rFonts w:hint="default"/>
      </w:rPr>
    </w:lvl>
    <w:lvl w:ilvl="2">
      <w:start w:val="1"/>
      <w:numFmt w:val="lowerRoman"/>
      <w:lvlText w:val="%3."/>
      <w:lvlJc w:val="right"/>
      <w:pPr>
        <w:ind w:left="2376" w:hanging="180"/>
      </w:pPr>
      <w:rPr>
        <w:rFonts w:hint="default"/>
      </w:rPr>
    </w:lvl>
    <w:lvl w:ilvl="3">
      <w:start w:val="1"/>
      <w:numFmt w:val="decimal"/>
      <w:lvlText w:val="%4."/>
      <w:lvlJc w:val="left"/>
      <w:pPr>
        <w:ind w:left="3096" w:hanging="360"/>
      </w:pPr>
      <w:rPr>
        <w:rFonts w:hint="default"/>
      </w:rPr>
    </w:lvl>
    <w:lvl w:ilvl="4">
      <w:start w:val="1"/>
      <w:numFmt w:val="lowerLetter"/>
      <w:lvlText w:val="%5."/>
      <w:lvlJc w:val="left"/>
      <w:pPr>
        <w:ind w:left="3816" w:hanging="360"/>
      </w:pPr>
      <w:rPr>
        <w:rFonts w:hint="default"/>
      </w:rPr>
    </w:lvl>
    <w:lvl w:ilvl="5">
      <w:start w:val="1"/>
      <w:numFmt w:val="lowerRoman"/>
      <w:lvlText w:val="%6."/>
      <w:lvlJc w:val="right"/>
      <w:pPr>
        <w:ind w:left="4536" w:hanging="180"/>
      </w:pPr>
      <w:rPr>
        <w:rFonts w:hint="default"/>
      </w:rPr>
    </w:lvl>
    <w:lvl w:ilvl="6">
      <w:start w:val="1"/>
      <w:numFmt w:val="decimal"/>
      <w:lvlText w:val="%7."/>
      <w:lvlJc w:val="left"/>
      <w:pPr>
        <w:ind w:left="5256" w:hanging="360"/>
      </w:pPr>
      <w:rPr>
        <w:rFonts w:hint="default"/>
      </w:rPr>
    </w:lvl>
    <w:lvl w:ilvl="7">
      <w:start w:val="1"/>
      <w:numFmt w:val="lowerLetter"/>
      <w:lvlText w:val="%8."/>
      <w:lvlJc w:val="left"/>
      <w:pPr>
        <w:ind w:left="5976" w:hanging="360"/>
      </w:pPr>
      <w:rPr>
        <w:rFonts w:hint="default"/>
      </w:rPr>
    </w:lvl>
    <w:lvl w:ilvl="8">
      <w:start w:val="1"/>
      <w:numFmt w:val="lowerRoman"/>
      <w:lvlText w:val="%9."/>
      <w:lvlJc w:val="right"/>
      <w:pPr>
        <w:ind w:left="6696" w:hanging="180"/>
      </w:pPr>
      <w:rPr>
        <w:rFonts w:hint="default"/>
      </w:rPr>
    </w:lvl>
  </w:abstractNum>
  <w:abstractNum w:abstractNumId="5" w15:restartNumberingAfterBreak="0">
    <w:nsid w:val="440C3314"/>
    <w:multiLevelType w:val="hybridMultilevel"/>
    <w:tmpl w:val="10A60EF6"/>
    <w:lvl w:ilvl="0" w:tplc="4BB841C2">
      <w:start w:val="1"/>
      <w:numFmt w:val="bullet"/>
      <w:lvlText w:val="-"/>
      <w:lvlJc w:val="left"/>
      <w:pPr>
        <w:ind w:left="936" w:hanging="360"/>
      </w:pPr>
      <w:rPr>
        <w:rFonts w:ascii="Bell MT" w:eastAsiaTheme="minorHAnsi" w:hAnsi="Bell MT"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nida Arayavechkit">
    <w15:presenceInfo w15:providerId="AD" w15:userId="S-1-5-21-88094858-919529-1617787245-6531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E87"/>
    <w:rsid w:val="00014353"/>
    <w:rsid w:val="0002572A"/>
    <w:rsid w:val="000B1576"/>
    <w:rsid w:val="000D3D07"/>
    <w:rsid w:val="000F736F"/>
    <w:rsid w:val="00210637"/>
    <w:rsid w:val="00214EC4"/>
    <w:rsid w:val="00274CC7"/>
    <w:rsid w:val="00291D65"/>
    <w:rsid w:val="00295B17"/>
    <w:rsid w:val="002E1058"/>
    <w:rsid w:val="00331300"/>
    <w:rsid w:val="003670D3"/>
    <w:rsid w:val="003B40C9"/>
    <w:rsid w:val="003C25F3"/>
    <w:rsid w:val="003D0414"/>
    <w:rsid w:val="00495B01"/>
    <w:rsid w:val="004A74DF"/>
    <w:rsid w:val="004E516C"/>
    <w:rsid w:val="00500D57"/>
    <w:rsid w:val="005E1ECD"/>
    <w:rsid w:val="00605C03"/>
    <w:rsid w:val="006216F9"/>
    <w:rsid w:val="006A0B94"/>
    <w:rsid w:val="006B0E70"/>
    <w:rsid w:val="006E2A7C"/>
    <w:rsid w:val="006E2AFA"/>
    <w:rsid w:val="006F4883"/>
    <w:rsid w:val="00701098"/>
    <w:rsid w:val="00717A3C"/>
    <w:rsid w:val="00733F74"/>
    <w:rsid w:val="0076174D"/>
    <w:rsid w:val="00802453"/>
    <w:rsid w:val="00836853"/>
    <w:rsid w:val="00853996"/>
    <w:rsid w:val="00871F49"/>
    <w:rsid w:val="008820FF"/>
    <w:rsid w:val="008E4773"/>
    <w:rsid w:val="008E590F"/>
    <w:rsid w:val="00943D1A"/>
    <w:rsid w:val="00974892"/>
    <w:rsid w:val="009D58C5"/>
    <w:rsid w:val="00A06253"/>
    <w:rsid w:val="00A06A66"/>
    <w:rsid w:val="00A2297F"/>
    <w:rsid w:val="00A24547"/>
    <w:rsid w:val="00A55835"/>
    <w:rsid w:val="00A90B94"/>
    <w:rsid w:val="00AD7914"/>
    <w:rsid w:val="00AF031B"/>
    <w:rsid w:val="00B00E70"/>
    <w:rsid w:val="00B018BE"/>
    <w:rsid w:val="00B356AE"/>
    <w:rsid w:val="00B65056"/>
    <w:rsid w:val="00B66BC4"/>
    <w:rsid w:val="00B7536F"/>
    <w:rsid w:val="00B840A2"/>
    <w:rsid w:val="00BD34C8"/>
    <w:rsid w:val="00BE6198"/>
    <w:rsid w:val="00BE6ACD"/>
    <w:rsid w:val="00BE71D9"/>
    <w:rsid w:val="00BF2BEE"/>
    <w:rsid w:val="00C10769"/>
    <w:rsid w:val="00C502F2"/>
    <w:rsid w:val="00C51404"/>
    <w:rsid w:val="00C9552D"/>
    <w:rsid w:val="00CD2B6C"/>
    <w:rsid w:val="00D02E8A"/>
    <w:rsid w:val="00D05658"/>
    <w:rsid w:val="00D63806"/>
    <w:rsid w:val="00E11AB1"/>
    <w:rsid w:val="00E13E0B"/>
    <w:rsid w:val="00E2668D"/>
    <w:rsid w:val="00E759C0"/>
    <w:rsid w:val="00EC0997"/>
    <w:rsid w:val="00EC0E87"/>
    <w:rsid w:val="00ED3291"/>
    <w:rsid w:val="00EE0E26"/>
    <w:rsid w:val="00F021E1"/>
    <w:rsid w:val="00F222AB"/>
    <w:rsid w:val="00FA7B7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20A29"/>
  <w15:chartTrackingRefBased/>
  <w15:docId w15:val="{020B4773-FC91-4689-A8FD-B5E7D90E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D58C5"/>
  </w:style>
  <w:style w:type="paragraph" w:styleId="Heading1">
    <w:name w:val="heading 1"/>
    <w:basedOn w:val="Normal"/>
    <w:next w:val="Normal"/>
    <w:link w:val="Heading1Char"/>
    <w:uiPriority w:val="9"/>
    <w:qFormat/>
    <w:rsid w:val="009D58C5"/>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D58C5"/>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D58C5"/>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D58C5"/>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D58C5"/>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D58C5"/>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D58C5"/>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58C5"/>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58C5"/>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D58C5"/>
    <w:rPr>
      <w:i/>
      <w:iCs/>
      <w:color w:val="auto"/>
    </w:rPr>
  </w:style>
  <w:style w:type="character" w:styleId="Hyperlink">
    <w:name w:val="Hyperlink"/>
    <w:basedOn w:val="DefaultParagraphFont"/>
    <w:uiPriority w:val="99"/>
    <w:unhideWhenUsed/>
    <w:rsid w:val="006A0B94"/>
    <w:rPr>
      <w:color w:val="0563C1" w:themeColor="hyperlink"/>
      <w:u w:val="single"/>
    </w:rPr>
  </w:style>
  <w:style w:type="paragraph" w:styleId="TOC1">
    <w:name w:val="toc 1"/>
    <w:basedOn w:val="Normal"/>
    <w:next w:val="Normal"/>
    <w:autoRedefine/>
    <w:uiPriority w:val="39"/>
    <w:unhideWhenUsed/>
    <w:rsid w:val="006A0B94"/>
    <w:pPr>
      <w:spacing w:before="120" w:after="100" w:line="240" w:lineRule="auto"/>
      <w:ind w:firstLine="576"/>
      <w:jc w:val="both"/>
    </w:pPr>
    <w:rPr>
      <w:rFonts w:ascii="Bell MT" w:hAnsi="Bell MT" w:cs="Times New Roman"/>
      <w:sz w:val="24"/>
      <w:szCs w:val="24"/>
      <w:lang w:bidi="ar-SA"/>
    </w:rPr>
  </w:style>
  <w:style w:type="character" w:customStyle="1" w:styleId="Heading1Char">
    <w:name w:val="Heading 1 Char"/>
    <w:basedOn w:val="DefaultParagraphFont"/>
    <w:link w:val="Heading1"/>
    <w:uiPriority w:val="9"/>
    <w:rsid w:val="009D58C5"/>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semiHidden/>
    <w:unhideWhenUsed/>
    <w:qFormat/>
    <w:rsid w:val="009D58C5"/>
    <w:pPr>
      <w:outlineLvl w:val="9"/>
    </w:pPr>
  </w:style>
  <w:style w:type="character" w:customStyle="1" w:styleId="Heading2Char">
    <w:name w:val="Heading 2 Char"/>
    <w:basedOn w:val="DefaultParagraphFont"/>
    <w:link w:val="Heading2"/>
    <w:uiPriority w:val="9"/>
    <w:rsid w:val="009D58C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D58C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D58C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D58C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D58C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D58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D58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D58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D58C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D58C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D58C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D58C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D58C5"/>
    <w:rPr>
      <w:color w:val="5A5A5A" w:themeColor="text1" w:themeTint="A5"/>
      <w:spacing w:val="10"/>
    </w:rPr>
  </w:style>
  <w:style w:type="character" w:styleId="Strong">
    <w:name w:val="Strong"/>
    <w:basedOn w:val="DefaultParagraphFont"/>
    <w:uiPriority w:val="22"/>
    <w:qFormat/>
    <w:rsid w:val="009D58C5"/>
    <w:rPr>
      <w:b/>
      <w:bCs/>
      <w:color w:val="000000" w:themeColor="text1"/>
    </w:rPr>
  </w:style>
  <w:style w:type="paragraph" w:styleId="NoSpacing">
    <w:name w:val="No Spacing"/>
    <w:uiPriority w:val="1"/>
    <w:qFormat/>
    <w:rsid w:val="009D58C5"/>
    <w:pPr>
      <w:spacing w:after="0" w:line="240" w:lineRule="auto"/>
    </w:pPr>
  </w:style>
  <w:style w:type="paragraph" w:styleId="Quote">
    <w:name w:val="Quote"/>
    <w:basedOn w:val="Normal"/>
    <w:next w:val="Normal"/>
    <w:link w:val="QuoteChar"/>
    <w:uiPriority w:val="29"/>
    <w:qFormat/>
    <w:rsid w:val="009D58C5"/>
    <w:pPr>
      <w:spacing w:before="160"/>
      <w:ind w:left="720" w:right="720"/>
    </w:pPr>
    <w:rPr>
      <w:i/>
      <w:iCs/>
      <w:color w:val="000000" w:themeColor="text1"/>
    </w:rPr>
  </w:style>
  <w:style w:type="character" w:customStyle="1" w:styleId="QuoteChar">
    <w:name w:val="Quote Char"/>
    <w:basedOn w:val="DefaultParagraphFont"/>
    <w:link w:val="Quote"/>
    <w:uiPriority w:val="29"/>
    <w:rsid w:val="009D58C5"/>
    <w:rPr>
      <w:i/>
      <w:iCs/>
      <w:color w:val="000000" w:themeColor="text1"/>
    </w:rPr>
  </w:style>
  <w:style w:type="paragraph" w:styleId="IntenseQuote">
    <w:name w:val="Intense Quote"/>
    <w:basedOn w:val="Normal"/>
    <w:next w:val="Normal"/>
    <w:link w:val="IntenseQuoteChar"/>
    <w:uiPriority w:val="30"/>
    <w:qFormat/>
    <w:rsid w:val="009D58C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D58C5"/>
    <w:rPr>
      <w:color w:val="000000" w:themeColor="text1"/>
      <w:shd w:val="clear" w:color="auto" w:fill="F2F2F2" w:themeFill="background1" w:themeFillShade="F2"/>
    </w:rPr>
  </w:style>
  <w:style w:type="character" w:styleId="SubtleEmphasis">
    <w:name w:val="Subtle Emphasis"/>
    <w:basedOn w:val="DefaultParagraphFont"/>
    <w:uiPriority w:val="19"/>
    <w:qFormat/>
    <w:rsid w:val="009D58C5"/>
    <w:rPr>
      <w:i/>
      <w:iCs/>
      <w:color w:val="404040" w:themeColor="text1" w:themeTint="BF"/>
    </w:rPr>
  </w:style>
  <w:style w:type="character" w:styleId="IntenseEmphasis">
    <w:name w:val="Intense Emphasis"/>
    <w:basedOn w:val="DefaultParagraphFont"/>
    <w:uiPriority w:val="21"/>
    <w:qFormat/>
    <w:rsid w:val="009D58C5"/>
    <w:rPr>
      <w:b/>
      <w:bCs/>
      <w:i/>
      <w:iCs/>
      <w:caps/>
    </w:rPr>
  </w:style>
  <w:style w:type="character" w:styleId="SubtleReference">
    <w:name w:val="Subtle Reference"/>
    <w:basedOn w:val="DefaultParagraphFont"/>
    <w:uiPriority w:val="31"/>
    <w:qFormat/>
    <w:rsid w:val="009D58C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D58C5"/>
    <w:rPr>
      <w:b/>
      <w:bCs/>
      <w:smallCaps/>
      <w:u w:val="single"/>
    </w:rPr>
  </w:style>
  <w:style w:type="character" w:styleId="BookTitle">
    <w:name w:val="Book Title"/>
    <w:basedOn w:val="DefaultParagraphFont"/>
    <w:uiPriority w:val="33"/>
    <w:qFormat/>
    <w:rsid w:val="009D58C5"/>
    <w:rPr>
      <w:b w:val="0"/>
      <w:bCs w:val="0"/>
      <w:smallCaps/>
      <w:spacing w:val="5"/>
    </w:rPr>
  </w:style>
  <w:style w:type="paragraph" w:styleId="ListParagraph">
    <w:name w:val="List Paragraph"/>
    <w:basedOn w:val="Normal"/>
    <w:link w:val="ListParagraphChar"/>
    <w:uiPriority w:val="34"/>
    <w:qFormat/>
    <w:rsid w:val="00495B01"/>
    <w:pPr>
      <w:ind w:left="720"/>
      <w:contextualSpacing/>
    </w:pPr>
    <w:rPr>
      <w:rFonts w:cs="Cordia New"/>
      <w:szCs w:val="28"/>
    </w:rPr>
  </w:style>
  <w:style w:type="character" w:customStyle="1" w:styleId="ListParagraphChar">
    <w:name w:val="List Paragraph Char"/>
    <w:link w:val="ListParagraph"/>
    <w:uiPriority w:val="34"/>
    <w:rsid w:val="00717A3C"/>
    <w:rPr>
      <w:rFonts w:cs="Cordia New"/>
      <w:szCs w:val="28"/>
    </w:rPr>
  </w:style>
  <w:style w:type="paragraph" w:styleId="FootnoteText">
    <w:name w:val="footnote text"/>
    <w:aliases w:val="fn,single space,FOOTNOTES,footnote text,Footnote text,ft,Footnote Text Char Char Char Char Char Char,Footnote Text Char1,Footnote Text Char Char,Fußnotentext Char,ADB,Footnote Text Char2 Char,Footnote Text Char1 Char Char,Footno,Char,f"/>
    <w:basedOn w:val="Normal"/>
    <w:link w:val="FootnoteTextChar"/>
    <w:uiPriority w:val="99"/>
    <w:unhideWhenUsed/>
    <w:rsid w:val="00D02E8A"/>
    <w:pPr>
      <w:spacing w:after="0" w:line="240" w:lineRule="auto"/>
    </w:pPr>
    <w:rPr>
      <w:sz w:val="20"/>
      <w:szCs w:val="25"/>
    </w:rPr>
  </w:style>
  <w:style w:type="character" w:customStyle="1" w:styleId="FootnoteTextChar">
    <w:name w:val="Footnote Text Char"/>
    <w:aliases w:val="fn Char,single space Char,FOOTNOTES Char,footnote text Char,Footnote text Char,ft Char,Footnote Text Char Char Char Char Char Char Char,Footnote Text Char1 Char,Footnote Text Char Char Char,Fußnotentext Char Char,ADB Char,Footno Char"/>
    <w:basedOn w:val="DefaultParagraphFont"/>
    <w:link w:val="FootnoteText"/>
    <w:uiPriority w:val="99"/>
    <w:rsid w:val="00D02E8A"/>
    <w:rPr>
      <w:sz w:val="20"/>
      <w:szCs w:val="25"/>
    </w:rPr>
  </w:style>
  <w:style w:type="character" w:styleId="FootnoteReference">
    <w:name w:val="footnote reference"/>
    <w:aliases w:val="referencia nota al pie,Fußnotenzeichen DISS,ftref,Footnote Reference1,Ref,de nota al pie,16 Point,Superscript 6 Point,Footnote Reference Number,Footnote Reference_LVL6,Footnote Reference_LVL61,Footnote Reference_LVL62,Знак сноски-FN,R"/>
    <w:basedOn w:val="DefaultParagraphFont"/>
    <w:uiPriority w:val="99"/>
    <w:unhideWhenUsed/>
    <w:rsid w:val="00D02E8A"/>
    <w:rPr>
      <w:vertAlign w:val="superscript"/>
    </w:rPr>
  </w:style>
  <w:style w:type="character" w:styleId="CommentReference">
    <w:name w:val="annotation reference"/>
    <w:basedOn w:val="DefaultParagraphFont"/>
    <w:uiPriority w:val="99"/>
    <w:semiHidden/>
    <w:unhideWhenUsed/>
    <w:rsid w:val="00500D57"/>
    <w:rPr>
      <w:sz w:val="16"/>
      <w:szCs w:val="16"/>
    </w:rPr>
  </w:style>
  <w:style w:type="paragraph" w:styleId="CommentText">
    <w:name w:val="annotation text"/>
    <w:basedOn w:val="Normal"/>
    <w:link w:val="CommentTextChar"/>
    <w:uiPriority w:val="99"/>
    <w:semiHidden/>
    <w:unhideWhenUsed/>
    <w:rsid w:val="00500D57"/>
    <w:pPr>
      <w:spacing w:line="240" w:lineRule="auto"/>
    </w:pPr>
    <w:rPr>
      <w:sz w:val="20"/>
      <w:szCs w:val="25"/>
    </w:rPr>
  </w:style>
  <w:style w:type="character" w:customStyle="1" w:styleId="CommentTextChar">
    <w:name w:val="Comment Text Char"/>
    <w:basedOn w:val="DefaultParagraphFont"/>
    <w:link w:val="CommentText"/>
    <w:uiPriority w:val="99"/>
    <w:semiHidden/>
    <w:rsid w:val="00500D57"/>
    <w:rPr>
      <w:sz w:val="20"/>
      <w:szCs w:val="25"/>
    </w:rPr>
  </w:style>
  <w:style w:type="paragraph" w:styleId="CommentSubject">
    <w:name w:val="annotation subject"/>
    <w:basedOn w:val="CommentText"/>
    <w:next w:val="CommentText"/>
    <w:link w:val="CommentSubjectChar"/>
    <w:uiPriority w:val="99"/>
    <w:semiHidden/>
    <w:unhideWhenUsed/>
    <w:rsid w:val="00500D57"/>
    <w:rPr>
      <w:b/>
      <w:bCs/>
    </w:rPr>
  </w:style>
  <w:style w:type="character" w:customStyle="1" w:styleId="CommentSubjectChar">
    <w:name w:val="Comment Subject Char"/>
    <w:basedOn w:val="CommentTextChar"/>
    <w:link w:val="CommentSubject"/>
    <w:uiPriority w:val="99"/>
    <w:semiHidden/>
    <w:rsid w:val="00500D57"/>
    <w:rPr>
      <w:b/>
      <w:bCs/>
      <w:sz w:val="20"/>
      <w:szCs w:val="25"/>
    </w:rPr>
  </w:style>
  <w:style w:type="paragraph" w:styleId="BalloonText">
    <w:name w:val="Balloon Text"/>
    <w:basedOn w:val="Normal"/>
    <w:link w:val="BalloonTextChar"/>
    <w:uiPriority w:val="99"/>
    <w:semiHidden/>
    <w:unhideWhenUsed/>
    <w:rsid w:val="00500D57"/>
    <w:pPr>
      <w:spacing w:after="0"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500D57"/>
    <w:rPr>
      <w:rFonts w:ascii="Segoe UI" w:hAnsi="Segoe UI" w:cs="Angsana New"/>
      <w:sz w:val="18"/>
    </w:rPr>
  </w:style>
  <w:style w:type="paragraph" w:styleId="TOC2">
    <w:name w:val="toc 2"/>
    <w:basedOn w:val="Normal"/>
    <w:next w:val="Normal"/>
    <w:autoRedefine/>
    <w:uiPriority w:val="39"/>
    <w:unhideWhenUsed/>
    <w:rsid w:val="003D0414"/>
    <w:pPr>
      <w:spacing w:after="100"/>
      <w:ind w:left="220"/>
    </w:pPr>
    <w:rPr>
      <w:szCs w:val="28"/>
    </w:rPr>
  </w:style>
  <w:style w:type="paragraph" w:styleId="TOC3">
    <w:name w:val="toc 3"/>
    <w:basedOn w:val="Normal"/>
    <w:next w:val="Normal"/>
    <w:autoRedefine/>
    <w:uiPriority w:val="39"/>
    <w:unhideWhenUsed/>
    <w:rsid w:val="00943D1A"/>
    <w:pPr>
      <w:spacing w:after="100"/>
      <w:ind w:left="440"/>
    </w:pPr>
    <w:rPr>
      <w:szCs w:val="28"/>
    </w:rPr>
  </w:style>
  <w:style w:type="paragraph" w:customStyle="1" w:styleId="Footnote">
    <w:name w:val="Footnote"/>
    <w:basedOn w:val="Normal"/>
    <w:rsid w:val="008E590F"/>
    <w:pPr>
      <w:spacing w:after="0" w:line="240" w:lineRule="auto"/>
      <w:jc w:val="both"/>
    </w:pPr>
    <w:rPr>
      <w:rFonts w:ascii="Helvetica" w:eastAsia="Times New Roman" w:hAnsi="Helvetica" w:cs="Times New Roman"/>
      <w:sz w:val="16"/>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1" Type="http://schemas.openxmlformats.org/officeDocument/2006/relationships/hyperlink" Target="http://siteresources.worldbank.org/INTPA/Resources/429966-1092778639630/deatonZaid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C89C300-CC0D-4C19-A10D-AB5C9E24B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5674</TotalTime>
  <Pages>7</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Tanida Arayavechkit</dc:creator>
  <cp:keywords/>
  <dc:description/>
  <cp:lastModifiedBy>Tanida Arayavechkit</cp:lastModifiedBy>
  <cp:revision>8</cp:revision>
  <dcterms:created xsi:type="dcterms:W3CDTF">2017-12-14T22:43:00Z</dcterms:created>
  <dcterms:modified xsi:type="dcterms:W3CDTF">2017-12-28T02:37:00Z</dcterms:modified>
</cp:coreProperties>
</file>