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48" w:val="single"/>
        </w:pBdr>
        <w:shd w:fill="2f5496" w:val="clear"/>
        <w:spacing w:after="160" w:line="259" w:lineRule="auto"/>
        <w:ind w:left="20" w:firstLine="0"/>
        <w:rPr>
          <w:rFonts w:ascii="Malgun Gothic" w:cs="Malgun Gothic" w:eastAsia="Malgun Gothic" w:hAnsi="Malgun Gothic"/>
          <w:b w:val="1"/>
          <w:color w:val="ffffff"/>
          <w:sz w:val="56"/>
          <w:szCs w:val="5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56"/>
          <w:szCs w:val="56"/>
          <w:rtl w:val="0"/>
        </w:rPr>
        <w:t xml:space="preserve">세계관 강화 작업 개요</w:t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left w:color="000000" w:space="4" w:sz="12" w:val="single"/>
          <w:right w:color="000000" w:space="4" w:sz="12" w:val="single"/>
        </w:pBdr>
        <w:shd w:fill="f2f2f2" w:val="clear"/>
        <w:spacing w:after="240" w:before="288" w:line="259" w:lineRule="auto"/>
        <w:ind w:left="160" w:right="15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현황 파악 : 실체화를 위한 설정의 나열이 이루어지고 있다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100" w:before="200" w:line="240" w:lineRule="auto"/>
        <w:ind w:left="4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실체화에 집중하여 각상황에 맞게 장면을 설계해나가는 효과를 발휘</w:t>
      </w:r>
    </w:p>
    <w:p w:rsidR="00000000" w:rsidDel="00000000" w:rsidP="00000000" w:rsidRDefault="00000000" w:rsidRPr="00000000" w14:paraId="00000005">
      <w:pPr>
        <w:widowControl w:val="0"/>
        <w:pBdr>
          <w:left w:color="000000" w:space="4" w:sz="12" w:val="single"/>
          <w:right w:color="000000" w:space="4" w:sz="12" w:val="single"/>
        </w:pBdr>
        <w:shd w:fill="f2f2f2" w:val="clear"/>
        <w:spacing w:after="240" w:before="288" w:line="259" w:lineRule="auto"/>
        <w:ind w:left="160" w:right="15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문제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100" w:before="200" w:line="240" w:lineRule="auto"/>
        <w:ind w:left="4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구성요소들 전체를 하나의 스토리로 집대성할 연결고리가 미약함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100" w:before="200" w:line="240" w:lineRule="auto"/>
        <w:ind w:left="4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이는 장기적으로 많은 구성요소의 활용을 불안정하게 만들 수 있음.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100" w:before="200" w:line="240" w:lineRule="auto"/>
        <w:ind w:left="800" w:hanging="40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작게는 한 대상의 사고방식, 행동방식이나 인과관계가 불명확해짐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100" w:before="200" w:line="240" w:lineRule="auto"/>
        <w:ind w:left="800" w:hanging="40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크게는 집단간의 구도와 상황, 현상의 배경이 불명확해짐</w:t>
      </w:r>
    </w:p>
    <w:p w:rsidR="00000000" w:rsidDel="00000000" w:rsidP="00000000" w:rsidRDefault="00000000" w:rsidRPr="00000000" w14:paraId="0000000A">
      <w:pPr>
        <w:widowControl w:val="0"/>
        <w:spacing w:after="100" w:before="200" w:line="240" w:lineRule="auto"/>
        <w:ind w:left="4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left w:color="000000" w:space="4" w:sz="12" w:val="single"/>
          <w:right w:color="000000" w:space="4" w:sz="12" w:val="single"/>
        </w:pBdr>
        <w:shd w:fill="f2f2f2" w:val="clear"/>
        <w:spacing w:after="240" w:before="288" w:line="259" w:lineRule="auto"/>
        <w:ind w:left="160" w:right="15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필요 : 각 요소의 연관성을 형성하는 거시적 세계관 컨셉 설정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00" w:before="200" w:line="240" w:lineRule="auto"/>
        <w:ind w:left="4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게임의 등장요소와 관계설정, 향후 스토리 전개에 당위성을 부여하며 더욱 몰입도를 높이기 위해 다음과 같은 부분들이 나열 속에 들어가 톱니바퀴 역할을 수행해야 함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100" w:before="200" w:line="240" w:lineRule="auto"/>
        <w:ind w:left="800" w:hanging="40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왜 이 요소가 있는가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100" w:before="200" w:line="240" w:lineRule="auto"/>
        <w:ind w:left="800" w:hanging="40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어떻게 이 요소가 형성되었는가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100" w:before="200" w:line="240" w:lineRule="auto"/>
        <w:ind w:left="800" w:hanging="400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어떤 결과로 이 요소가 게임에 반영되는가</w:t>
      </w:r>
    </w:p>
    <w:p w:rsidR="00000000" w:rsidDel="00000000" w:rsidP="00000000" w:rsidRDefault="00000000" w:rsidRPr="00000000" w14:paraId="00000010">
      <w:pPr>
        <w:widowControl w:val="0"/>
        <w:spacing w:after="100" w:before="200" w:line="240" w:lineRule="auto"/>
        <w:ind w:left="40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4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