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sz w:val="32"/>
        </w:rPr>
        <w:t>半總統制下行政權與立法權關係之比較研究：以甲、乙、丙三國為例</w:t>
      </w:r>
    </w:p>
    <w:p>
      <w:r>
        <w:rPr>
          <w:rFonts w:ascii="Times New Roman" w:hAnsi="Times New Roman" w:eastAsia="標楷體"/>
          <w:b/>
          <w:sz w:val="28"/>
        </w:rPr>
        <w:t>摘要</w:t>
      </w:r>
    </w:p>
    <w:p>
      <w:r>
        <w:rPr>
          <w:rFonts w:ascii="Times New Roman" w:hAnsi="Times New Roman" w:eastAsia="標楷體"/>
          <w:b w:val="0"/>
        </w:rPr>
        <w:t>本研究比較甲、乙、丙三個採行半總統制國家之行政立法關係，探討總統解散國會權與內閣穩定之關聯。研究以各國憲法條文與1990至2020年之內閣存續資料為基礎，採比較個案研究法，並輔以簡單相關之描述性觀察。研究發現，三國之總統解散權強度與內閣平均存續月數之間並未呈現單調關係：解散權較強之甲國內閣平均存續31.0個月，解散權受限之乙國為26.6個月，解散權「無」之丙國為37.2個月。本研究為僅含三個案例之比較個案研究，結果僅能作為初步觀察，其外推範圍有限，不宜直接推論至其他半總統制國家。</w:t>
      </w:r>
    </w:p>
    <w:p>
      <w:r>
        <w:rPr>
          <w:rFonts w:ascii="Times New Roman" w:hAnsi="Times New Roman" w:eastAsia="標楷體"/>
          <w:b w:val="0"/>
        </w:rPr>
        <w:t>關鍵詞：半總統制、行政立法關係、內閣穩定、比較憲政</w:t>
      </w:r>
    </w:p>
    <w:p>
      <w:r>
        <w:rPr>
          <w:rFonts w:ascii="Times New Roman" w:hAnsi="Times New Roman" w:eastAsia="標楷體"/>
          <w:b/>
          <w:sz w:val="28"/>
        </w:rPr>
        <w:t>一、緒論</w:t>
      </w:r>
    </w:p>
    <w:p>
      <w:r>
        <w:rPr>
          <w:rFonts w:ascii="Times New Roman" w:hAnsi="Times New Roman" w:eastAsia="標楷體"/>
          <w:b w:val="0"/>
        </w:rPr>
        <w:t>第三波民主化以來，許多新興民主國家在總統制與議會內閣制之間選擇了折衷的半總統制（又稱雙首長制）。此一體制由民選總統與向國會負責之內閣並存，總統與總理之間的權力分配，成為憲政運作的核心議題。制度設計者期待藉由雙重行政首長的安排，兼顧行政效率與民意代表性，使政府既能迅速回應重大事件，又能受到國會有效的監督。</w:t>
      </w:r>
    </w:p>
    <w:p>
      <w:r>
        <w:rPr>
          <w:rFonts w:ascii="Times New Roman" w:hAnsi="Times New Roman" w:eastAsia="標楷體"/>
          <w:b w:val="0"/>
        </w:rPr>
        <w:t>然而，半總統制的實際運作樣貌差異甚大。有的國家由總統主導政策方向，總理僅負責執行；有的國家則由國會多數組成內閣，總統退居象徵性角色。這種差異不僅影響行政效率，也牽動政府的穩定程度。內閣是否頻繁更替，直接關係到政策的連續性、官僚體系的運作，以及公民對民主制度的信任。當內閣在短時間內多次改組，不僅使長期政策難以推動，也可能加深政治人物與選民之間的疏離。</w:t>
      </w:r>
    </w:p>
    <w:p>
      <w:r>
        <w:rPr>
          <w:rFonts w:ascii="Times New Roman" w:hAnsi="Times New Roman" w:eastAsia="標楷體"/>
          <w:b w:val="0"/>
        </w:rPr>
        <w:t>在制度設計上，總統是否擁有解散國會之權，常被視為影響行政與立法關係的關鍵安排。解散權賦予總統在政治僵局時訴諸選民的手段，但也可能成為總統對抗國會多數的工具。對於內閣而言，當總統擁有解散權時，內閣的存續可能同時受到國會不信任案與總統意志的雙重牽制。因此，解散權之有無及其強度，值得作為比較不同半總統制國家的重要切入點。</w:t>
      </w:r>
    </w:p>
    <w:p>
      <w:r>
        <w:rPr>
          <w:rFonts w:ascii="Times New Roman" w:hAnsi="Times New Roman" w:eastAsia="標楷體"/>
          <w:b w:val="0"/>
        </w:rPr>
        <w:t>本研究所稱之半總統制，係指憲法規定總統由全民直選，並與向國會負責之內閣並存的行政體制。此一界定涵蓋總統權力較大與較小的各種變體，使不同國家之間得以放在同一架構下比較。在研究範圍上，本研究聚焦於總統與內閣、國會之間的制度關係，不處理司法體系與地方制度。</w:t>
      </w:r>
    </w:p>
    <w:p>
      <w:r>
        <w:rPr>
          <w:rFonts w:ascii="Times New Roman" w:hAnsi="Times New Roman" w:eastAsia="標楷體"/>
          <w:b w:val="0"/>
        </w:rPr>
        <w:t>本研究之問題為：總統的權力配置如何影響內閣穩定？進一步而言，總統是否擁有解散國會之權，與內閣的平均存續時間之間，是否存在系統性的關係？為回答此一問題，本研究選取三個採行半總統制的國家，比較其憲法對總統權力的規定，並結合近三十年的內閣存續資料進行分析。</w:t>
      </w:r>
    </w:p>
    <w:p>
      <w:r>
        <w:rPr>
          <w:rFonts w:ascii="Times New Roman" w:hAnsi="Times New Roman" w:eastAsia="標楷體"/>
          <w:b w:val="0"/>
        </w:rPr>
        <w:t>本研究之貢獻在於提供跨國比較的證據，補充既有研究的不足，並為憲政制度設計提供參考。全文共分六節：第二節回顧相關文獻，第三節說明研究方法，第四節呈現三國比較結果，第五節進行討論，第六節為結論與建議。</w:t>
      </w:r>
    </w:p>
    <w:p>
      <w:r>
        <w:rPr>
          <w:rFonts w:ascii="Times New Roman" w:hAnsi="Times New Roman" w:eastAsia="標楷體"/>
          <w:b/>
          <w:sz w:val="28"/>
        </w:rPr>
        <w:t>二、文獻探討</w:t>
      </w:r>
    </w:p>
    <w:p>
      <w:r>
        <w:rPr>
          <w:rFonts w:ascii="Times New Roman" w:hAnsi="Times New Roman" w:eastAsia="標楷體"/>
          <w:b/>
          <w:sz w:val="24"/>
        </w:rPr>
        <w:t>（一）半總統制的概念與分類</w:t>
      </w:r>
    </w:p>
    <w:p>
      <w:r>
        <w:rPr>
          <w:rFonts w:ascii="Times New Roman" w:hAnsi="Times New Roman" w:eastAsia="標楷體"/>
          <w:b w:val="0"/>
        </w:rPr>
        <w:t>半總統制的概念源自對特定國家憲政體制的觀察，後來被廣泛用來描述總統與總理並存的行政體制。學者對半總統制的分類多著重於總統權力之大小（周明德，2015），並依總統是否擁有任命總理、解散國會與主導政策之權，區分為總統優位型與議會優位型。此一分類方式的優點，在於能夠以明確的憲法條文作為判準；但其限制在於，憲法條文所賦予的權力，未必等同於實際運作中總統所能發揮的影響力。</w:t>
      </w:r>
    </w:p>
    <w:p>
      <w:r>
        <w:rPr>
          <w:rFonts w:ascii="Times New Roman" w:hAnsi="Times New Roman" w:eastAsia="標楷體"/>
          <w:b w:val="0"/>
        </w:rPr>
        <w:t>Brown（2014）則從總統與國會多數之關係切入，指出當總統與國會多數屬同一陣營時，體制傾向總統主導；反之，當總統與國會多數分屬不同陣營時，體制則傾向議會主導。此一觀點強調政黨與選舉結果對體制運作的影響，提醒研究者不能僅從憲法文本推論實際運作。陳志明（2019）在其比較憲政導論中，亦將半總統制視為一種可在不同運作模式之間擺盪的體制，並指出同一部憲法在不同時期可能呈現截然不同的政治樣貌。</w:t>
      </w:r>
    </w:p>
    <w:p>
      <w:r>
        <w:rPr>
          <w:rFonts w:ascii="Times New Roman" w:hAnsi="Times New Roman" w:eastAsia="標楷體"/>
          <w:b/>
          <w:sz w:val="24"/>
        </w:rPr>
        <w:t>（二）行政立法關係與內閣穩定</w:t>
      </w:r>
    </w:p>
    <w:p>
      <w:r>
        <w:rPr>
          <w:rFonts w:ascii="Times New Roman" w:hAnsi="Times New Roman" w:eastAsia="標楷體"/>
          <w:b w:val="0"/>
        </w:rPr>
        <w:t>關於總統權力與內閣穩定的關係，張大偉（2016）指出，總統擁有解散國會權之國家，其內閣較容易受到總統意志左右，進而影響內閣的存續。李國強（2018）則從聯合內閣的角度指出，內閣壽命與國會中的政黨結構密切相關。王建華（2020）進一步提出，總統與總理之間的權限劃分不明，是造成內閣更替頻繁的重要原因，當憲法對任命與免職的規定模糊時，雙方容易因政策主導權而陷入衝突。</w:t>
      </w:r>
    </w:p>
    <w:p>
      <w:r>
        <w:rPr>
          <w:rFonts w:ascii="Times New Roman" w:hAnsi="Times New Roman" w:eastAsia="標楷體"/>
          <w:b w:val="0"/>
        </w:rPr>
        <w:t>上述研究為理解半總統制下的行政立法關係提供了重要線索，但仍有幾點值得進一步探討。首先，多數研究仰賴對單一國家的深入描述，所得結論是否能夠跨國適用，仍待檢驗。其次，研究者對「內閣穩定」的衡量方式並不一致，有的以內閣存續時間衡量，有的則以內閣改組次數或政黨組成變動衡量，使不同研究之間難以直接比較。</w:t>
      </w:r>
    </w:p>
    <w:p>
      <w:r>
        <w:rPr>
          <w:rFonts w:ascii="Times New Roman" w:hAnsi="Times New Roman" w:eastAsia="標楷體"/>
          <w:b w:val="0"/>
        </w:rPr>
        <w:t>關於解散權，學界多從其功能與風險兩方面討論。就功能而言，解散權可作為化解政治僵局的機制，使選民得以在行政與立法衝突時表達意見，避免憲政危機長期延宕；就風險而言，若總統得以任意解散國會，可能削弱國會的監督功能，並使內閣成為總統的附庸。此外，解散權的行使條件、行使次數的限制，以及解散後的選舉時程，都會影響此一制度的實際效果。</w:t>
      </w:r>
    </w:p>
    <w:p>
      <w:r>
        <w:rPr>
          <w:rFonts w:ascii="Times New Roman" w:hAnsi="Times New Roman" w:eastAsia="標楷體"/>
          <w:b w:val="0"/>
        </w:rPr>
        <w:t>內閣穩定的議題，亦與政黨體系和聯合內閣的形成密切相關。在多黨林立的國會中，內閣往往需要依賴跨黨派的支持才能存續，因此即使憲法對總統權力的規定相同，不同的政黨結構也可能造成不同的內閣壽命。這提醒研究者在解釋內閣穩定時，必須同時考慮制度與政治脈絡兩方面的因素。</w:t>
      </w:r>
    </w:p>
    <w:p>
      <w:r>
        <w:rPr>
          <w:rFonts w:ascii="Times New Roman" w:hAnsi="Times New Roman" w:eastAsia="標楷體"/>
          <w:b/>
          <w:sz w:val="24"/>
        </w:rPr>
        <w:t>（三）研究缺口</w:t>
      </w:r>
    </w:p>
    <w:p>
      <w:r>
        <w:rPr>
          <w:rFonts w:ascii="Times New Roman" w:hAnsi="Times New Roman" w:eastAsia="標楷體"/>
          <w:b w:val="0"/>
        </w:rPr>
        <w:t>然而，現有文獻多聚焦於單一國家的經驗，跨國比較研究仍屬少數。既有的少數比較研究，亦多以質性描述為主，較少結合長期的內閣存續資料。本研究嘗試以三國為例，結合制度條文與內閣存續資料，補充此一缺口。</w:t>
      </w:r>
    </w:p>
    <w:p>
      <w:r>
        <w:rPr>
          <w:rFonts w:ascii="Times New Roman" w:hAnsi="Times New Roman" w:eastAsia="標楷體"/>
          <w:b/>
          <w:sz w:val="28"/>
        </w:rPr>
        <w:t>三、研究方法</w:t>
      </w:r>
    </w:p>
    <w:p>
      <w:r>
        <w:rPr>
          <w:rFonts w:ascii="Times New Roman" w:hAnsi="Times New Roman" w:eastAsia="標楷體"/>
          <w:b/>
          <w:sz w:val="24"/>
        </w:rPr>
        <w:t>（一）研究設計與案例選擇</w:t>
      </w:r>
    </w:p>
    <w:p>
      <w:r>
        <w:rPr>
          <w:rFonts w:ascii="Times New Roman" w:hAnsi="Times New Roman" w:eastAsia="標楷體"/>
          <w:b w:val="0"/>
        </w:rPr>
        <w:t>本研究採比較個案研究法。本研究選擇甲、乙、丙三國作為比較對象，採「最相似系統設計」之精神：三國皆於二十世紀中葉以後確立現行憲法，並採行總統與總理並存之行政體制，可作為半總統制之案例，而在總統解散權之強度上有所差異（有、有（受限）、無），使研究得以觀察此一制度變項與內閣穩定之關聯。三國之觀察期間皆為1990至2020年。比較個案研究法的優勢，在於能夠兼顧制度條文與實際運作的脈絡，並在有限的案例數量下進行較為深入的描述。</w:t>
      </w:r>
    </w:p>
    <w:p>
      <w:r>
        <w:rPr>
          <w:rFonts w:ascii="Times New Roman" w:hAnsi="Times New Roman" w:eastAsia="標楷體"/>
          <w:b/>
          <w:sz w:val="24"/>
        </w:rPr>
        <w:t>（二）分析概念與指標</w:t>
      </w:r>
    </w:p>
    <w:p>
      <w:r>
        <w:rPr>
          <w:rFonts w:ascii="Times New Roman" w:hAnsi="Times New Roman" w:eastAsia="標楷體"/>
          <w:b w:val="0"/>
        </w:rPr>
        <w:t>本研究以「總統解散權強度」作為主要比較變項，並以「行政主導程度」作為輔助性描述概念，從憲法條文與實際運作兩方面觀察其變化。內閣穩定則以內閣平均存續月數衡量。總統解散權強度，依各國憲法對解散權之規定，區分為「有」「有（受限）」「無」三類，並分別賦予高、中、低之強度。</w:t>
      </w:r>
    </w:p>
    <w:p>
      <w:r>
        <w:rPr>
          <w:rFonts w:ascii="Times New Roman" w:hAnsi="Times New Roman" w:eastAsia="標楷體"/>
          <w:b w:val="0"/>
        </w:rPr>
        <w:t>在相關分析中，解散權強度依序賦值為高＝3、中＝2、低＝1，內閣穩定則採各國內閣平均存續月數。行政主導程度的觀察，則以總統是否主導政策議程、總理是否具有獨立的政策主張，作為實際運作面的描述性參考，不作為統計變項。</w:t>
      </w:r>
    </w:p>
    <w:p>
      <w:r>
        <w:rPr>
          <w:rFonts w:ascii="Times New Roman" w:hAnsi="Times New Roman" w:eastAsia="標楷體"/>
          <w:b/>
          <w:sz w:val="24"/>
        </w:rPr>
        <w:t>（三）資料來源</w:t>
      </w:r>
    </w:p>
    <w:p>
      <w:r>
        <w:rPr>
          <w:rFonts w:ascii="Times New Roman" w:hAnsi="Times New Roman" w:eastAsia="標楷體"/>
          <w:b w:val="0"/>
        </w:rPr>
        <w:t>本研究之資料來源包括各國憲法條文與政府公報。三國內閣存續資料取自1990至2020年，共36筆內閣（N = 36）。資料之整理，依各國政府公報所載內閣就職與去職日期計算存續月數。憲法條文部分，則以各國現行憲法之條文內容為準，並參照修憲前後之差異。</w:t>
      </w:r>
    </w:p>
    <w:p>
      <w:r>
        <w:rPr>
          <w:rFonts w:ascii="Times New Roman" w:hAnsi="Times New Roman" w:eastAsia="標楷體"/>
          <w:b/>
          <w:sz w:val="24"/>
        </w:rPr>
        <w:t>（四）分析方法</w:t>
      </w:r>
    </w:p>
    <w:p>
      <w:r>
        <w:rPr>
          <w:rFonts w:ascii="Times New Roman" w:hAnsi="Times New Roman" w:eastAsia="標楷體"/>
          <w:b w:val="0"/>
        </w:rPr>
        <w:t>本研究先以比較個案方式，說明三國之制度設計與運作；再以三國總統解散權強度與內閣平均存續月數進行簡單相關分析，檢視兩者之關聯。分析結果以表格與文字並陳，並於討論中與既有文獻對照。</w:t>
      </w:r>
    </w:p>
    <w:p>
      <w:r>
        <w:rPr>
          <w:rFonts w:ascii="Times New Roman" w:hAnsi="Times New Roman" w:eastAsia="標楷體"/>
          <w:b/>
          <w:sz w:val="28"/>
        </w:rPr>
        <w:t>四、比較結果</w:t>
      </w:r>
    </w:p>
    <w:p>
      <w:r>
        <w:rPr>
          <w:rFonts w:ascii="Times New Roman" w:hAnsi="Times New Roman" w:eastAsia="標楷體"/>
          <w:b/>
          <w:sz w:val="24"/>
        </w:rPr>
        <w:t>（一）三國之制度設計</w:t>
      </w:r>
    </w:p>
    <w:p>
      <w:r>
        <w:rPr>
          <w:rFonts w:ascii="Times New Roman" w:hAnsi="Times New Roman" w:eastAsia="標楷體"/>
          <w:b w:val="0"/>
        </w:rPr>
        <w:t>三國主要制度設計如表1所示。</w:t>
      </w:r>
    </w:p>
    <w:p>
      <w:r>
        <w:rPr>
          <w:rFonts w:ascii="Times New Roman" w:hAnsi="Times New Roman" w:eastAsia="標楷體"/>
          <w:b/>
        </w:rPr>
        <w:t>表1　三國半總統制之主要制度設計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標楷體"/>
                <w:b/>
              </w:rPr>
              <w:t>國別</w:t>
            </w:r>
          </w:p>
        </w:tc>
        <w:tc>
          <w:tcPr>
            <w:tcW w:type="dxa" w:w="1728"/>
          </w:tcPr>
          <w:p>
            <w:r/>
            <w:r>
              <w:rPr>
                <w:rFonts w:ascii="Times New Roman" w:hAnsi="Times New Roman" w:eastAsia="標楷體"/>
                <w:b/>
              </w:rPr>
              <w:t>現行憲法制定年</w:t>
            </w:r>
          </w:p>
        </w:tc>
        <w:tc>
          <w:tcPr>
            <w:tcW w:type="dxa" w:w="1728"/>
          </w:tcPr>
          <w:p>
            <w:r/>
            <w:r>
              <w:rPr>
                <w:rFonts w:ascii="Times New Roman" w:hAnsi="Times New Roman" w:eastAsia="標楷體"/>
                <w:b/>
              </w:rPr>
              <w:t>最近一次修憲</w:t>
            </w:r>
          </w:p>
        </w:tc>
        <w:tc>
          <w:tcPr>
            <w:tcW w:type="dxa" w:w="1728"/>
          </w:tcPr>
          <w:p>
            <w:r/>
            <w:r>
              <w:rPr>
                <w:rFonts w:ascii="Times New Roman" w:hAnsi="Times New Roman" w:eastAsia="標楷體"/>
                <w:b/>
              </w:rPr>
              <w:t>總統解散權</w:t>
            </w:r>
          </w:p>
        </w:tc>
        <w:tc>
          <w:tcPr>
            <w:tcW w:type="dxa" w:w="1728"/>
          </w:tcPr>
          <w:p>
            <w:r/>
            <w:r>
              <w:rPr>
                <w:rFonts w:ascii="Times New Roman" w:hAnsi="Times New Roman" w:eastAsia="標楷體"/>
                <w:b/>
              </w:rPr>
              <w:t>不信任案門檻</w:t>
            </w:r>
          </w:p>
        </w:tc>
      </w:tr>
      <w:tr>
        <w:tc>
          <w:tcPr>
            <w:tcW w:type="dxa" w:w="1728"/>
          </w:tcPr>
          <w:p>
            <w:r/>
            <w:r>
              <w:rPr>
                <w:rFonts w:ascii="Times New Roman" w:hAnsi="Times New Roman" w:eastAsia="標楷體"/>
                <w:b w:val="0"/>
              </w:rPr>
              <w:t>甲國</w:t>
            </w:r>
          </w:p>
        </w:tc>
        <w:tc>
          <w:tcPr>
            <w:tcW w:type="dxa" w:w="1728"/>
          </w:tcPr>
          <w:p>
            <w:r/>
            <w:r>
              <w:rPr>
                <w:rFonts w:ascii="Times New Roman" w:hAnsi="Times New Roman" w:eastAsia="標楷體"/>
                <w:b w:val="0"/>
              </w:rPr>
              <w:t>1958</w:t>
            </w:r>
          </w:p>
        </w:tc>
        <w:tc>
          <w:tcPr>
            <w:tcW w:type="dxa" w:w="1728"/>
          </w:tcPr>
          <w:p>
            <w:r/>
            <w:r>
              <w:rPr>
                <w:rFonts w:ascii="Times New Roman" w:hAnsi="Times New Roman" w:eastAsia="標楷體"/>
                <w:b w:val="0"/>
              </w:rPr>
              <w:t>2008</w:t>
            </w:r>
          </w:p>
        </w:tc>
        <w:tc>
          <w:tcPr>
            <w:tcW w:type="dxa" w:w="1728"/>
          </w:tcPr>
          <w:p>
            <w:r/>
            <w:r>
              <w:rPr>
                <w:rFonts w:ascii="Times New Roman" w:hAnsi="Times New Roman" w:eastAsia="標楷體"/>
                <w:b w:val="0"/>
              </w:rPr>
              <w:t>有</w:t>
            </w:r>
          </w:p>
        </w:tc>
        <w:tc>
          <w:tcPr>
            <w:tcW w:type="dxa" w:w="1728"/>
          </w:tcPr>
          <w:p>
            <w:r/>
            <w:r>
              <w:rPr>
                <w:rFonts w:ascii="Times New Roman" w:hAnsi="Times New Roman" w:eastAsia="標楷體"/>
                <w:b w:val="0"/>
              </w:rPr>
              <w:t>過半數</w:t>
            </w:r>
          </w:p>
        </w:tc>
      </w:tr>
      <w:tr>
        <w:tc>
          <w:tcPr>
            <w:tcW w:type="dxa" w:w="1728"/>
          </w:tcPr>
          <w:p>
            <w:r/>
            <w:r>
              <w:rPr>
                <w:rFonts w:ascii="Times New Roman" w:hAnsi="Times New Roman" w:eastAsia="標楷體"/>
                <w:b w:val="0"/>
              </w:rPr>
              <w:t>乙國</w:t>
            </w:r>
          </w:p>
        </w:tc>
        <w:tc>
          <w:tcPr>
            <w:tcW w:type="dxa" w:w="1728"/>
          </w:tcPr>
          <w:p>
            <w:r/>
            <w:r>
              <w:rPr>
                <w:rFonts w:ascii="Times New Roman" w:hAnsi="Times New Roman" w:eastAsia="標楷體"/>
                <w:b w:val="0"/>
              </w:rPr>
              <w:t>1991</w:t>
            </w:r>
          </w:p>
        </w:tc>
        <w:tc>
          <w:tcPr>
            <w:tcW w:type="dxa" w:w="1728"/>
          </w:tcPr>
          <w:p>
            <w:r/>
            <w:r>
              <w:rPr>
                <w:rFonts w:ascii="Times New Roman" w:hAnsi="Times New Roman" w:eastAsia="標楷體"/>
                <w:b w:val="0"/>
              </w:rPr>
              <w:t>1997</w:t>
            </w:r>
          </w:p>
        </w:tc>
        <w:tc>
          <w:tcPr>
            <w:tcW w:type="dxa" w:w="1728"/>
          </w:tcPr>
          <w:p>
            <w:r/>
            <w:r>
              <w:rPr>
                <w:rFonts w:ascii="Times New Roman" w:hAnsi="Times New Roman" w:eastAsia="標楷體"/>
                <w:b w:val="0"/>
              </w:rPr>
              <w:t>有（受限）</w:t>
            </w:r>
          </w:p>
        </w:tc>
        <w:tc>
          <w:tcPr>
            <w:tcW w:type="dxa" w:w="1728"/>
          </w:tcPr>
          <w:p>
            <w:r/>
            <w:r>
              <w:rPr>
                <w:rFonts w:ascii="Times New Roman" w:hAnsi="Times New Roman" w:eastAsia="標楷體"/>
                <w:b w:val="0"/>
              </w:rPr>
              <w:t>三分之二</w:t>
            </w:r>
          </w:p>
        </w:tc>
      </w:tr>
      <w:tr>
        <w:tc>
          <w:tcPr>
            <w:tcW w:type="dxa" w:w="1728"/>
          </w:tcPr>
          <w:p>
            <w:r/>
            <w:r>
              <w:rPr>
                <w:rFonts w:ascii="Times New Roman" w:hAnsi="Times New Roman" w:eastAsia="標楷體"/>
                <w:b w:val="0"/>
              </w:rPr>
              <w:t>丙國</w:t>
            </w:r>
          </w:p>
        </w:tc>
        <w:tc>
          <w:tcPr>
            <w:tcW w:type="dxa" w:w="1728"/>
          </w:tcPr>
          <w:p>
            <w:r/>
            <w:r>
              <w:rPr>
                <w:rFonts w:ascii="Times New Roman" w:hAnsi="Times New Roman" w:eastAsia="標楷體"/>
                <w:b w:val="0"/>
              </w:rPr>
              <w:t>1947</w:t>
            </w:r>
          </w:p>
        </w:tc>
        <w:tc>
          <w:tcPr>
            <w:tcW w:type="dxa" w:w="1728"/>
          </w:tcPr>
          <w:p>
            <w:r/>
            <w:r>
              <w:rPr>
                <w:rFonts w:ascii="Times New Roman" w:hAnsi="Times New Roman" w:eastAsia="標楷體"/>
                <w:b w:val="0"/>
              </w:rPr>
              <w:t>2005</w:t>
            </w:r>
          </w:p>
        </w:tc>
        <w:tc>
          <w:tcPr>
            <w:tcW w:type="dxa" w:w="1728"/>
          </w:tcPr>
          <w:p>
            <w:r/>
            <w:r>
              <w:rPr>
                <w:rFonts w:ascii="Times New Roman" w:hAnsi="Times New Roman" w:eastAsia="標楷體"/>
                <w:b w:val="0"/>
              </w:rPr>
              <w:t>無</w:t>
            </w:r>
          </w:p>
        </w:tc>
        <w:tc>
          <w:tcPr>
            <w:tcW w:type="dxa" w:w="1728"/>
          </w:tcPr>
          <w:p>
            <w:r/>
            <w:r>
              <w:rPr>
                <w:rFonts w:ascii="Times New Roman" w:hAnsi="Times New Roman" w:eastAsia="標楷體"/>
                <w:b w:val="0"/>
              </w:rPr>
              <w:t>過半數</w:t>
            </w:r>
          </w:p>
        </w:tc>
      </w:tr>
    </w:tbl>
    <w:p/>
    <w:p>
      <w:r>
        <w:rPr>
          <w:rFonts w:ascii="Times New Roman" w:hAnsi="Times New Roman" w:eastAsia="標楷體"/>
          <w:b w:val="0"/>
        </w:rPr>
        <w:t>甲國於1958年制定現行憲法，賦予總統任命總理及解散國會之權（憲法第八條）。該國於2008年修憲，修憲內容未涉及總統解散權之規定，制度設計大致維持穩定。總統由全民直選，任期五年，在實際運作中常與國會多數維持緊密協調。</w:t>
      </w:r>
    </w:p>
    <w:p>
      <w:r>
        <w:rPr>
          <w:rFonts w:ascii="Times New Roman" w:hAnsi="Times New Roman" w:eastAsia="標楷體"/>
          <w:b w:val="0"/>
        </w:rPr>
        <w:t>在實際運作上，每逢重大政策爭議，甲國總統多以公開談話設定議程，並透過黨內領導地位影響國會立法。內閣則依國會席次變化調整組成，歷屆內閣之更替亦多與選舉週期相關。總理在多數時期扮演總統政策的執行者，較少對外提出獨立的政策主張，政策的最終決定多由總統府做出。</w:t>
      </w:r>
    </w:p>
    <w:p>
      <w:r>
        <w:rPr>
          <w:rFonts w:ascii="Times New Roman" w:hAnsi="Times New Roman" w:eastAsia="標楷體"/>
          <w:b w:val="0"/>
        </w:rPr>
        <w:t>甲國的政黨體系長期由兩大政黨主導，國會多數與總統所屬政黨在多數時期一致，使總統得以在不動用解散權的情況下維持政策推動。總統每年定期與國會領袖會商預算與重大法案，並透過幕僚機構協調各部會施政。此一運作模式使行政權在實務上呈現高度集中之樣貌，也使甲國成為觀察總統優位型半總統制的典型案例。</w:t>
      </w:r>
    </w:p>
    <w:p>
      <w:r>
        <w:rPr>
          <w:rFonts w:ascii="Times New Roman" w:hAnsi="Times New Roman" w:eastAsia="標楷體"/>
          <w:b w:val="0"/>
        </w:rPr>
        <w:t>在預算與立法程序方面，甲國內閣每年依總統府設定之施政重點編列預算，並由總理率閣員向國會報告。國會常設委員會對預算案的審議，多集中於細部項目的調整，較少挑戰總體方向。在重大法案的推動上，總統常藉由政黨黨團協商先行凝聚共識，再交由內閣提案，使立法過程相對順暢。這些運作特徵，與甲國總統在黨內的領導地位密切相關。</w:t>
      </w:r>
    </w:p>
    <w:p>
      <w:r>
        <w:rPr>
          <w:rFonts w:ascii="Times New Roman" w:hAnsi="Times New Roman" w:eastAsia="標楷體"/>
          <w:b w:val="0"/>
        </w:rPr>
        <w:t>乙國現行憲法制定於1991年，並於1997年修憲，修憲後總統任命權受國會同意權限制（憲法第三十五條）。乙國的政黨體系呈現多黨並立的格局，國會多數往往由數個政黨組成的聯盟構成，而總統所屬政黨未必掌握國會多數。在此情形下，總統與國會多數之間時有對立，每逢重大法案或預算案，總統與總理常就政策主導權產生爭執，內閣的組成亦隨聯盟的分合而調整。乙國總統雖保有受限的解散權，但解散國會須受一定條件限制，實際運用的空間有限，使總統較難藉此化解僵局。</w:t>
      </w:r>
    </w:p>
    <w:p>
      <w:r>
        <w:rPr>
          <w:rFonts w:ascii="Times New Roman" w:hAnsi="Times New Roman" w:eastAsia="標楷體"/>
          <w:b w:val="0"/>
        </w:rPr>
        <w:t>丙國現行憲法制定於1947年，2005年修憲後總統不再具有解散權。丙國的政黨體系以兩個主要政黨為核心，內閣通常由國會多數黨組成，總理在政策方向上具有相當的自主性，總統則多扮演象徵與協調的角色。預算案與重要法案多由內閣提出並由國會多數支持通過，總統與國會之間的正面衝突相對少見。在此背景下，即使總統不具解散權，內閣仍得以維持較長的存續時間，而不須仰賴總統的態度。</w:t>
      </w:r>
    </w:p>
    <w:p>
      <w:r>
        <w:rPr>
          <w:rFonts w:ascii="Times New Roman" w:hAnsi="Times New Roman" w:eastAsia="標楷體"/>
          <w:b/>
          <w:sz w:val="24"/>
        </w:rPr>
        <w:t>（二）內閣穩定</w:t>
      </w:r>
    </w:p>
    <w:p>
      <w:r>
        <w:rPr>
          <w:rFonts w:ascii="Times New Roman" w:hAnsi="Times New Roman" w:eastAsia="標楷體"/>
          <w:b w:val="0"/>
        </w:rPr>
        <w:t>三國內閣存續情形如表2所示。</w:t>
      </w:r>
    </w:p>
    <w:p>
      <w:r>
        <w:rPr>
          <w:rFonts w:ascii="Times New Roman" w:hAnsi="Times New Roman" w:eastAsia="標楷體"/>
          <w:b/>
        </w:rPr>
        <w:t>表2　三國內閣存續情形（1990至2020年）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標楷體"/>
                <w:b/>
              </w:rPr>
              <w:t>國別</w:t>
            </w:r>
          </w:p>
        </w:tc>
        <w:tc>
          <w:tcPr>
            <w:tcW w:type="dxa" w:w="1728"/>
          </w:tcPr>
          <w:p>
            <w:r/>
            <w:r>
              <w:rPr>
                <w:rFonts w:ascii="Times New Roman" w:hAnsi="Times New Roman" w:eastAsia="標楷體"/>
                <w:b/>
              </w:rPr>
              <w:t>內閣數</w:t>
            </w:r>
          </w:p>
        </w:tc>
        <w:tc>
          <w:tcPr>
            <w:tcW w:type="dxa" w:w="1728"/>
          </w:tcPr>
          <w:p>
            <w:r/>
            <w:r>
              <w:rPr>
                <w:rFonts w:ascii="Times New Roman" w:hAnsi="Times New Roman" w:eastAsia="標楷體"/>
                <w:b/>
              </w:rPr>
              <w:t>平均存續月數</w:t>
            </w:r>
          </w:p>
        </w:tc>
        <w:tc>
          <w:tcPr>
            <w:tcW w:type="dxa" w:w="1728"/>
          </w:tcPr>
          <w:p>
            <w:r/>
            <w:r>
              <w:rPr>
                <w:rFonts w:ascii="Times New Roman" w:hAnsi="Times New Roman" w:eastAsia="標楷體"/>
                <w:b/>
              </w:rPr>
              <w:t>最短（月）</w:t>
            </w:r>
          </w:p>
        </w:tc>
        <w:tc>
          <w:tcPr>
            <w:tcW w:type="dxa" w:w="1728"/>
          </w:tcPr>
          <w:p>
            <w:r/>
            <w:r>
              <w:rPr>
                <w:rFonts w:ascii="Times New Roman" w:hAnsi="Times New Roman" w:eastAsia="標楷體"/>
                <w:b/>
              </w:rPr>
              <w:t>最長（月）</w:t>
            </w:r>
          </w:p>
        </w:tc>
      </w:tr>
      <w:tr>
        <w:tc>
          <w:tcPr>
            <w:tcW w:type="dxa" w:w="1728"/>
          </w:tcPr>
          <w:p>
            <w:r/>
            <w:r>
              <w:rPr>
                <w:rFonts w:ascii="Times New Roman" w:hAnsi="Times New Roman" w:eastAsia="標楷體"/>
                <w:b w:val="0"/>
              </w:rPr>
              <w:t>甲國</w:t>
            </w:r>
          </w:p>
        </w:tc>
        <w:tc>
          <w:tcPr>
            <w:tcW w:type="dxa" w:w="1728"/>
          </w:tcPr>
          <w:p>
            <w:r/>
            <w:r>
              <w:rPr>
                <w:rFonts w:ascii="Times New Roman" w:hAnsi="Times New Roman" w:eastAsia="標楷體"/>
                <w:b w:val="0"/>
              </w:rPr>
              <w:t>12</w:t>
            </w:r>
          </w:p>
        </w:tc>
        <w:tc>
          <w:tcPr>
            <w:tcW w:type="dxa" w:w="1728"/>
          </w:tcPr>
          <w:p>
            <w:r/>
            <w:r>
              <w:rPr>
                <w:rFonts w:ascii="Times New Roman" w:hAnsi="Times New Roman" w:eastAsia="標楷體"/>
                <w:b w:val="0"/>
              </w:rPr>
              <w:t>31.0</w:t>
            </w:r>
          </w:p>
        </w:tc>
        <w:tc>
          <w:tcPr>
            <w:tcW w:type="dxa" w:w="1728"/>
          </w:tcPr>
          <w:p>
            <w:r/>
            <w:r>
              <w:rPr>
                <w:rFonts w:ascii="Times New Roman" w:hAnsi="Times New Roman" w:eastAsia="標楷體"/>
                <w:b w:val="0"/>
              </w:rPr>
              <w:t>11</w:t>
            </w:r>
          </w:p>
        </w:tc>
        <w:tc>
          <w:tcPr>
            <w:tcW w:type="dxa" w:w="1728"/>
          </w:tcPr>
          <w:p>
            <w:r/>
            <w:r>
              <w:rPr>
                <w:rFonts w:ascii="Times New Roman" w:hAnsi="Times New Roman" w:eastAsia="標楷體"/>
                <w:b w:val="0"/>
              </w:rPr>
              <w:t>58</w:t>
            </w:r>
          </w:p>
        </w:tc>
      </w:tr>
      <w:tr>
        <w:tc>
          <w:tcPr>
            <w:tcW w:type="dxa" w:w="1728"/>
          </w:tcPr>
          <w:p>
            <w:r/>
            <w:r>
              <w:rPr>
                <w:rFonts w:ascii="Times New Roman" w:hAnsi="Times New Roman" w:eastAsia="標楷體"/>
                <w:b w:val="0"/>
              </w:rPr>
              <w:t>乙國</w:t>
            </w:r>
          </w:p>
        </w:tc>
        <w:tc>
          <w:tcPr>
            <w:tcW w:type="dxa" w:w="1728"/>
          </w:tcPr>
          <w:p>
            <w:r/>
            <w:r>
              <w:rPr>
                <w:rFonts w:ascii="Times New Roman" w:hAnsi="Times New Roman" w:eastAsia="標楷體"/>
                <w:b w:val="0"/>
              </w:rPr>
              <w:t>14</w:t>
            </w:r>
          </w:p>
        </w:tc>
        <w:tc>
          <w:tcPr>
            <w:tcW w:type="dxa" w:w="1728"/>
          </w:tcPr>
          <w:p>
            <w:r/>
            <w:r>
              <w:rPr>
                <w:rFonts w:ascii="Times New Roman" w:hAnsi="Times New Roman" w:eastAsia="標楷體"/>
                <w:b w:val="0"/>
              </w:rPr>
              <w:t>26.6</w:t>
            </w:r>
          </w:p>
        </w:tc>
        <w:tc>
          <w:tcPr>
            <w:tcW w:type="dxa" w:w="1728"/>
          </w:tcPr>
          <w:p>
            <w:r/>
            <w:r>
              <w:rPr>
                <w:rFonts w:ascii="Times New Roman" w:hAnsi="Times New Roman" w:eastAsia="標楷體"/>
                <w:b w:val="0"/>
              </w:rPr>
              <w:t>4</w:t>
            </w:r>
          </w:p>
        </w:tc>
        <w:tc>
          <w:tcPr>
            <w:tcW w:type="dxa" w:w="1728"/>
          </w:tcPr>
          <w:p>
            <w:r/>
            <w:r>
              <w:rPr>
                <w:rFonts w:ascii="Times New Roman" w:hAnsi="Times New Roman" w:eastAsia="標楷體"/>
                <w:b w:val="0"/>
              </w:rPr>
              <w:t>40</w:t>
            </w:r>
          </w:p>
        </w:tc>
      </w:tr>
      <w:tr>
        <w:tc>
          <w:tcPr>
            <w:tcW w:type="dxa" w:w="1728"/>
          </w:tcPr>
          <w:p>
            <w:r/>
            <w:r>
              <w:rPr>
                <w:rFonts w:ascii="Times New Roman" w:hAnsi="Times New Roman" w:eastAsia="標楷體"/>
                <w:b w:val="0"/>
              </w:rPr>
              <w:t>丙國</w:t>
            </w:r>
          </w:p>
        </w:tc>
        <w:tc>
          <w:tcPr>
            <w:tcW w:type="dxa" w:w="1728"/>
          </w:tcPr>
          <w:p>
            <w:r/>
            <w:r>
              <w:rPr>
                <w:rFonts w:ascii="Times New Roman" w:hAnsi="Times New Roman" w:eastAsia="標楷體"/>
                <w:b w:val="0"/>
              </w:rPr>
              <w:t>10</w:t>
            </w:r>
          </w:p>
        </w:tc>
        <w:tc>
          <w:tcPr>
            <w:tcW w:type="dxa" w:w="1728"/>
          </w:tcPr>
          <w:p>
            <w:r/>
            <w:r>
              <w:rPr>
                <w:rFonts w:ascii="Times New Roman" w:hAnsi="Times New Roman" w:eastAsia="標楷體"/>
                <w:b w:val="0"/>
              </w:rPr>
              <w:t>37.2</w:t>
            </w:r>
          </w:p>
        </w:tc>
        <w:tc>
          <w:tcPr>
            <w:tcW w:type="dxa" w:w="1728"/>
          </w:tcPr>
          <w:p>
            <w:r/>
            <w:r>
              <w:rPr>
                <w:rFonts w:ascii="Times New Roman" w:hAnsi="Times New Roman" w:eastAsia="標楷體"/>
                <w:b w:val="0"/>
              </w:rPr>
              <w:t>17</w:t>
            </w:r>
          </w:p>
        </w:tc>
        <w:tc>
          <w:tcPr>
            <w:tcW w:type="dxa" w:w="1728"/>
          </w:tcPr>
          <w:p>
            <w:r/>
            <w:r>
              <w:rPr>
                <w:rFonts w:ascii="Times New Roman" w:hAnsi="Times New Roman" w:eastAsia="標楷體"/>
                <w:b w:val="0"/>
              </w:rPr>
              <w:t>66</w:t>
            </w:r>
          </w:p>
        </w:tc>
      </w:tr>
    </w:tbl>
    <w:p/>
    <w:p>
      <w:r>
        <w:rPr>
          <w:rFonts w:ascii="Times New Roman" w:hAnsi="Times New Roman" w:eastAsia="標楷體"/>
          <w:b w:val="0"/>
        </w:rPr>
        <w:t>由表2可知，甲國內閣平均存續31.0個月，乙國26.6個月，丙國37.2個月。以三國總統解散權強度（高＝3、中＝2、低＝1）與內閣平均存續月數計算皮爾森相關係數，r ≈ -.58。因案例數僅三國（N = 3），本研究不進行顯著性檢定，此一係數僅供描述參考。且三國之間的關係並不單調：解散權居中之乙國，內閣平均存續月數反而為三國最短。</w:t>
      </w:r>
    </w:p>
    <w:p>
      <w:r>
        <w:rPr>
          <w:rFonts w:ascii="Times New Roman" w:hAnsi="Times New Roman" w:eastAsia="標楷體"/>
          <w:b w:val="0"/>
        </w:rPr>
        <w:t>乙國內閣更替頻繁，歷任總統與國會多數之關係常有衝突，每當衝突升高，內閣即面臨改組。丙國則因總統不具解散權，內閣與國會多數關係較為單純，存續時間較長。</w:t>
      </w:r>
    </w:p>
    <w:p>
      <w:r>
        <w:rPr>
          <w:rFonts w:ascii="Times New Roman" w:hAnsi="Times New Roman" w:eastAsia="標楷體"/>
          <w:b/>
          <w:sz w:val="28"/>
        </w:rPr>
        <w:t>五、討論</w:t>
      </w:r>
    </w:p>
    <w:p>
      <w:r>
        <w:rPr>
          <w:rFonts w:ascii="Times New Roman" w:hAnsi="Times New Roman" w:eastAsia="標楷體"/>
          <w:b w:val="0"/>
        </w:rPr>
        <w:t>本研究之三國比較顯示，總統解散權強度與內閣平均存續月數之間並未呈現單調關係，甲國與丙國之內閣存續時間皆長於乙國。此一結果提示，解散權之有無或強弱，可能並非解釋內閣穩定之唯一或主要因素。</w:t>
      </w:r>
    </w:p>
    <w:p>
      <w:r>
        <w:rPr>
          <w:rFonts w:ascii="Times New Roman" w:hAnsi="Times New Roman" w:eastAsia="標楷體"/>
          <w:b w:val="0"/>
        </w:rPr>
        <w:t>從三國的比較觀察，政黨體系與國會多數之狀態或許扮演重要角色：甲國的總統與國會多數在多數時期屬同一政黨，丙國的內閣由國會多數黨組成，而乙國則呈現多黨並立與總統和國會多數之對立。此一對應關係僅為三國之描述性觀察，本研究並未針對政黨體系建立系統性的分析，因此無法判斷其影響之大小，此為本研究之限制。</w:t>
      </w:r>
    </w:p>
    <w:p>
      <w:r>
        <w:rPr>
          <w:rFonts w:ascii="Times New Roman" w:hAnsi="Times New Roman" w:eastAsia="標楷體"/>
          <w:b w:val="0"/>
        </w:rPr>
        <w:t>本研究之觀察與張大偉（2016）指出解散權可能使內閣受總統意志左右之論點並不完全一致；而與Brown（2014）強調總統與國會多數關係之觀點，則較為相容。惟本研究僅有三個案例，不宜據此對既有文獻作出評斷，僅能視為後續研究可進一步檢驗之線索。</w:t>
      </w:r>
    </w:p>
    <w:p>
      <w:r>
        <w:rPr>
          <w:rFonts w:ascii="Times New Roman" w:hAnsi="Times New Roman" w:eastAsia="標楷體"/>
          <w:b w:val="0"/>
        </w:rPr>
        <w:t>在外推方面，本研究僅涵蓋三個案例，結論之適用性僅限於本研究所比較之三國脈絡。不同半總統制國家之政治與歷史脈絡、政黨體系差異甚大，貿然外推可能忽略個案特殊性。</w:t>
      </w:r>
    </w:p>
    <w:p>
      <w:r>
        <w:rPr>
          <w:rFonts w:ascii="Times New Roman" w:hAnsi="Times New Roman" w:eastAsia="標楷體"/>
          <w:b/>
          <w:sz w:val="28"/>
        </w:rPr>
        <w:t>六、結論與建議</w:t>
      </w:r>
    </w:p>
    <w:p>
      <w:r>
        <w:rPr>
          <w:rFonts w:ascii="Times New Roman" w:hAnsi="Times New Roman" w:eastAsia="標楷體"/>
          <w:b w:val="0"/>
        </w:rPr>
        <w:t>本研究以甲、乙、丙三國為例，比較總統解散權強度與內閣穩定之關係，發現兩者之間並未呈現單調關係，解散權之強弱未必是決定內閣穩定的唯一因素。</w:t>
      </w:r>
    </w:p>
    <w:p>
      <w:r>
        <w:rPr>
          <w:rFonts w:ascii="Times New Roman" w:hAnsi="Times New Roman" w:eastAsia="標楷體"/>
          <w:b w:val="0"/>
        </w:rPr>
        <w:t>據此，本研究建議，憲政體制之設計或修訂，宜將總統解散權與政黨體系、國會運作實況等因素一併考量，不宜僅以解散權之有無作為提升內閣穩定的單一手段。惟本研究案例數有限，上述建議僅屬初步參考。</w:t>
      </w:r>
    </w:p>
    <w:p>
      <w:r>
        <w:rPr>
          <w:rFonts w:ascii="Times New Roman" w:hAnsi="Times New Roman" w:eastAsia="標楷體"/>
          <w:b w:val="0"/>
        </w:rPr>
        <w:t>後續研究可擴大案例數量，並有系統地納入政黨體系、選舉制度等變項，以更嚴謹地檢驗制度設計與內閣穩定之關係。</w:t>
      </w:r>
    </w:p>
    <w:p>
      <w:r>
        <w:rPr>
          <w:rFonts w:ascii="Times New Roman" w:hAnsi="Times New Roman" w:eastAsia="標楷體"/>
          <w:b/>
          <w:sz w:val="28"/>
        </w:rPr>
        <w:t>參考文獻</w:t>
      </w:r>
    </w:p>
    <w:p>
      <w:r>
        <w:rPr>
          <w:rFonts w:ascii="Times New Roman" w:hAnsi="Times New Roman" w:eastAsia="標楷體"/>
          <w:b w:val="0"/>
        </w:rPr>
        <w:t>王建華（2020）。半總統制下的權限劃分與內閣更替。憲政研究季刊，14(3)，77-102。</w:t>
      </w:r>
    </w:p>
    <w:p>
      <w:r>
        <w:rPr>
          <w:rFonts w:ascii="Times New Roman" w:hAnsi="Times New Roman" w:eastAsia="標楷體"/>
          <w:b w:val="0"/>
        </w:rPr>
        <w:t>李國強（2018）。內閣穩定的制度分析。比較政治學報，9(1)，1-28。</w:t>
      </w:r>
    </w:p>
    <w:p>
      <w:r>
        <w:rPr>
          <w:rFonts w:ascii="Times New Roman" w:hAnsi="Times New Roman" w:eastAsia="標楷體"/>
          <w:b w:val="0"/>
        </w:rPr>
        <w:t>周明德（2015）。比較憲政體制研究。臺北：寰宇出版社。</w:t>
      </w:r>
    </w:p>
    <w:p>
      <w:r>
        <w:rPr>
          <w:rFonts w:ascii="Times New Roman" w:hAnsi="Times New Roman" w:eastAsia="標楷體"/>
          <w:b w:val="0"/>
        </w:rPr>
        <w:t>張大偉（2016）。半總統制的權力結構。政治與法律評論，12(2)，45-70。</w:t>
      </w:r>
    </w:p>
    <w:p>
      <w:r>
        <w:rPr>
          <w:rFonts w:ascii="Times New Roman" w:hAnsi="Times New Roman" w:eastAsia="標楷體"/>
          <w:b w:val="0"/>
        </w:rPr>
        <w:t>陳志明（2019）。比較憲政導論。臺北：開明出版社。</w:t>
      </w:r>
    </w:p>
    <w:p>
      <w:r>
        <w:rPr>
          <w:rFonts w:ascii="Times New Roman" w:hAnsi="Times New Roman" w:eastAsia="標楷體"/>
          <w:b w:val="0"/>
        </w:rPr>
        <w:t>Brown, T. (2014). Executive power in semi-presidential systems. Journal of Comparative Governance, 21(3), 301–326.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