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WI-FRS-001 — Source receipt and verification</w:t>
      </w:r>
    </w:p>
    <w:p>
      <w:pPr>
        <w:pStyle w:val="Heading2"/>
      </w:pPr>
      <w:r>
        <w:t>1. Purpose</w:t>
      </w:r>
    </w:p>
    <w:p>
      <w:r>
        <w:t>Receive and reconcile documentary sources before drafting or using a controlled procedure.</w:t>
      </w:r>
    </w:p>
    <w:p>
      <w:pPr>
        <w:pStyle w:val="Heading2"/>
      </w:pPr>
      <w:r>
        <w:t>2. Scope</w:t>
      </w:r>
    </w:p>
    <w:p>
      <w:r>
        <w:t>Company WIs/SOPs, forms, scientific references and system records received for the FRS document family.</w:t>
      </w:r>
    </w:p>
    <w:p>
      <w:pPr>
        <w:pStyle w:val="Heading2"/>
      </w:pPr>
      <w:r>
        <w:t>3. Responsibilities</w:t>
      </w:r>
    </w:p>
    <w:p>
      <w:r>
        <w:t>Document Control coordinates receipt; the technical source owner checks applicability; yazeed decides controlled approval/activation.</w:t>
      </w:r>
    </w:p>
    <w:p>
      <w:pPr>
        <w:pStyle w:val="Heading2"/>
      </w:pPr>
      <w:r>
        <w:t>4. Approval and activation authority</w:t>
      </w:r>
    </w:p>
    <w:p>
      <w:r>
        <w:t>Owner instruction recorded on 09 Oct 2026: the named system owner, yazeed, is the approval and activation authority for the FRS document family, including documents authored through code. This records the authority designation; generation of a file is not an individual electronic approval or an effective-date event. Account-bound signing, audit traceability and version binding remain required. No application permission or production record is changed by this instruction document.</w:t>
      </w:r>
    </w:p>
    <w:p>
      <w:pPr>
        <w:pStyle w:val="Heading2"/>
      </w:pPr>
      <w:r>
        <w:t>5. Before you start</w:t>
      </w:r>
    </w:p>
    <w:p>
      <w:r>
        <w:t>Original supplied file or scan; governing master list where applicable; all pages/attachments; source identity and revision; access to a controlled review register.</w:t>
      </w:r>
    </w:p>
    <w:p>
      <w:pPr>
        <w:pStyle w:val="Heading2"/>
      </w:pPr>
      <w:r>
        <w:t>6. Definitions</w:t>
      </w:r>
    </w:p>
    <w:p>
      <w:r>
        <w:t>Document revision identifies the content issue; record version is the concurrency value shown by the system. Review, approval, signature verification and effectivity are separate outcomes. A source hash proves byte integrity only.</w:t>
      </w:r>
    </w:p>
    <w:p>
      <w:pPr>
        <w:pStyle w:val="Heading2"/>
      </w:pPr>
      <w:r>
        <w:t>Current implementation boundary</w:t>
      </w:r>
    </w:p>
    <w:p>
      <w:r>
        <w:t>Manual source-review controls. The source manifest is received evidence, not a verified QMS approval. No source upload or approval was executed.</w:t>
      </w:r>
    </w:p>
    <w:p>
      <w:r>
        <w:br w:type="page"/>
      </w:r>
    </w:p>
    <w:p>
      <w:pPr>
        <w:pStyle w:val="Heading1"/>
      </w:pPr>
      <w:r>
        <w:t>7. Procedure</w:t>
      </w:r>
    </w:p>
    <w:p>
      <w:r>
        <w:t>Follow the steps in order. Preserve the actual outcome at every checkpoint; required future controls do not establish current availability.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6005"/>
        <w:gridCol w:w="2376"/>
      </w:tblGrid>
      <w:tr>
        <w:trPr>
          <w:cantSplit/>
        </w:trPr>
        <w:tc>
          <w:tcPr>
            <w:tcW w:type="dxa" w:w="3346"/>
          </w:tcPr>
          <w:p>
            <w:r>
              <w:t>Step</w:t>
            </w:r>
          </w:p>
        </w:tc>
        <w:tc>
          <w:tcPr>
            <w:tcW w:type="dxa" w:w="3346"/>
          </w:tcPr>
          <w:p>
            <w:r>
              <w:t>Action</w:t>
            </w:r>
          </w:p>
        </w:tc>
        <w:tc>
          <w:tcPr>
            <w:tcW w:type="dxa" w:w="3346"/>
          </w:tcPr>
          <w:p>
            <w:r>
              <w:t>Expected check / record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7.1 Receive the original</w:t>
            </w:r>
          </w:p>
        </w:tc>
        <w:tc>
          <w:tcPr>
            <w:tcW w:type="dxa" w:w="3346"/>
          </w:tcPr>
          <w:p>
            <w:r>
              <w:t>Preserve the supplied bytes in the authorized source location. Record received date, source provider/owner, filename and location. Keep any compressed image, transcription or generated PDF separate from the original.</w:t>
            </w:r>
          </w:p>
        </w:tc>
        <w:tc>
          <w:tcPr>
            <w:tcW w:type="dxa" w:w="3346"/>
          </w:tcPr>
          <w:p>
            <w:r>
              <w:t>Source provenance and unchanged original.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7.2 Check document identity</w:t>
            </w:r>
          </w:p>
        </w:tc>
        <w:tc>
          <w:tcPr>
            <w:tcW w:type="dxa" w:w="3346"/>
          </w:tcPr>
          <w:p>
            <w:r>
              <w:t>Read the printed code, title, revision and date. Compare identity and approved revision to the governing master list where applicable. Record exact spelling; do not silently correct or infer a suffix.</w:t>
            </w:r>
          </w:p>
        </w:tc>
        <w:tc>
          <w:tcPr>
            <w:tcW w:type="dxa" w:w="3346"/>
          </w:tcPr>
          <w:p>
            <w:r>
              <w:t>Identity/revision comparison recorded.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7.3 Check completeness</w:t>
            </w:r>
          </w:p>
        </w:tc>
        <w:tc>
          <w:tcPr>
            <w:tcW w:type="dxa" w:w="3346"/>
          </w:tcPr>
          <w:p>
            <w:r>
              <w:t>Inspect every page, sequence, referenced attachment, table and footer. Record expected/present pages and illegible content. For the supplied set, Ureteric Catheter page 1/4 and Sterile Syringes page 3/5 remain missing unless actually supplied.</w:t>
            </w:r>
          </w:p>
        </w:tc>
        <w:tc>
          <w:tcPr>
            <w:tcW w:type="dxa" w:w="3346"/>
          </w:tcPr>
          <w:p>
            <w:r>
              <w:t>Completeness status and missing-page request.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7.4 Check integrity</w:t>
            </w:r>
          </w:p>
        </w:tc>
        <w:tc>
          <w:tcPr>
            <w:tcW w:type="dxa" w:w="3346"/>
          </w:tcPr>
          <w:p>
            <w:r>
              <w:t>Calculate SHA-256 over the original file bytes using approved local tooling and retain the algorithm/hash scope. Calculate derivatives separately. Record an unperformed safety scan as NOT VERIFIED; a hash does not prove malware safety, approval or scientific validity.</w:t>
            </w:r>
          </w:p>
        </w:tc>
        <w:tc>
          <w:tcPr>
            <w:tcW w:type="dxa" w:w="3346"/>
          </w:tcPr>
          <w:p>
            <w:r>
              <w:t>Original/derivative identity and integrity evidence.</w:t>
            </w:r>
          </w:p>
        </w:tc>
      </w:tr>
    </w:tbl>
    <w:p>
      <w:r>
        <w:br w:type="page"/>
      </w:r>
    </w:p>
    <w:p>
      <w:pPr>
        <w:pStyle w:val="Heading1"/>
      </w:pPr>
      <w:r>
        <w:t>7. Procedure — continued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6005"/>
        <w:gridCol w:w="2376"/>
      </w:tblGrid>
      <w:tr>
        <w:trPr>
          <w:cantSplit/>
        </w:trPr>
        <w:tc>
          <w:tcPr>
            <w:tcW w:type="dxa" w:w="3346"/>
          </w:tcPr>
          <w:p>
            <w:r>
              <w:t>Step</w:t>
            </w:r>
          </w:p>
        </w:tc>
        <w:tc>
          <w:tcPr>
            <w:tcW w:type="dxa" w:w="3346"/>
          </w:tcPr>
          <w:p>
            <w:r>
              <w:t>Action</w:t>
            </w:r>
          </w:p>
        </w:tc>
        <w:tc>
          <w:tcPr>
            <w:tcW w:type="dxa" w:w="3346"/>
          </w:tcPr>
          <w:p>
            <w:r>
              <w:t>Expected check / record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7.5 Classify source status</w:t>
            </w:r>
          </w:p>
        </w:tc>
        <w:tc>
          <w:tcPr>
            <w:tcW w:type="dxa" w:w="3346"/>
          </w:tcPr>
          <w:p>
            <w:r>
              <w:t>Record whether it is a received company copy, approved effective source, historical record or draft. Preserve physical-use evidence, but do not translate a printed signature/stamp into digital verification.</w:t>
            </w:r>
          </w:p>
        </w:tc>
        <w:tc>
          <w:tcPr>
            <w:tcW w:type="dxa" w:w="3346"/>
          </w:tcPr>
          <w:p>
            <w:r>
              <w:t>Separate receipt, approval and effectivity statuses.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7.6 Resolve conflicts</w:t>
            </w:r>
          </w:p>
        </w:tc>
        <w:tc>
          <w:tcPr>
            <w:tcW w:type="dxa" w:w="3346"/>
          </w:tcPr>
          <w:p>
            <w:r>
              <w:t>For the same subject, compare explicit decision/revision/effective dates and select the newer applicable governing source. Record old/new clauses and scope. If identity, date or applicability remains ambiguous, stop that mapping and refer it to the source owner.</w:t>
            </w:r>
          </w:p>
        </w:tc>
        <w:tc>
          <w:tcPr>
            <w:tcW w:type="dxa" w:w="3346"/>
          </w:tcPr>
          <w:p>
            <w:r>
              <w:t>Scoped conflict disposition; unresolved items visible.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7.7 Register usable sources</w:t>
            </w:r>
          </w:p>
        </w:tc>
        <w:tc>
          <w:tcPr>
            <w:tcW w:type="dxa" w:w="3346"/>
          </w:tcPr>
          <w:p>
            <w:r>
              <w:t>Capture code/title/revision/date, page references, source location/hash, completeness, applicability, decision owner and unresolved items in the review register. Registration of a file in the application is a separate supported process; do not assume an upload button exists in Documents.</w:t>
            </w:r>
          </w:p>
        </w:tc>
        <w:tc>
          <w:tcPr>
            <w:tcW w:type="dxa" w:w="3346"/>
          </w:tcPr>
          <w:p>
            <w:r>
              <w:t>Source register ready for drafting.</w:t>
            </w:r>
          </w:p>
        </w:tc>
      </w:tr>
      <w:tr>
        <w:trPr>
          <w:cantSplit/>
        </w:trPr>
        <w:tc>
          <w:tcPr>
            <w:tcW w:type="dxa" w:w="3346"/>
          </w:tcPr>
          <w:p>
            <w:r>
              <w:t>7.8 Hand over</w:t>
            </w:r>
          </w:p>
        </w:tc>
        <w:tc>
          <w:tcPr>
            <w:tcW w:type="dxa" w:w="3346"/>
          </w:tcPr>
          <w:p>
            <w:r>
              <w:t>Give the author the original, approved applicable reference and conflict record. Identify draft-only transcription and unsupported scientific content explicitly. Refer to WI-FRS-002 for preparation.</w:t>
            </w:r>
          </w:p>
        </w:tc>
        <w:tc>
          <w:tcPr>
            <w:tcW w:type="dxa" w:w="3346"/>
          </w:tcPr>
          <w:p>
            <w:r>
              <w:t>Author receives traceable source package.</w:t>
            </w:r>
          </w:p>
        </w:tc>
      </w:tr>
    </w:tbl>
    <w:p>
      <w:r>
        <w:br w:type="page"/>
      </w:r>
    </w:p>
    <w:p>
      <w:pPr>
        <w:pStyle w:val="Heading1"/>
      </w:pPr>
      <w:r>
        <w:t>8. Stop conditions, records and handoff</w:t>
      </w:r>
    </w:p>
    <w:p>
      <w:pPr>
        <w:pStyle w:val="Heading2"/>
      </w:pPr>
      <w:r>
        <w:t>8.1 Errors and stop conditions</w:t>
      </w:r>
    </w:p>
    <w:p>
      <w:r>
        <w:t>Stop for unreadable or incomplete required pages, a hash mismatch, a conflicting code, absent governing revision or unsupported scientific criteria. Preserve the source and record the issue; do not substitute a similar product method. The example folder WI-8-2-2-64 and printed code appearing WI-8-2-2-04 require identity reconciliation.</w:t>
      </w:r>
    </w:p>
    <w:p>
      <w:pPr>
        <w:pStyle w:val="Heading2"/>
      </w:pPr>
      <w:r>
        <w:t>8.2 Required records</w:t>
      </w:r>
    </w:p>
    <w:p>
      <w:r>
        <w:t>Receipt/source register; completeness check; original/derivative hashes; conflict disposition; source-owner response.</w:t>
      </w:r>
    </w:p>
    <w:p>
      <w:pPr>
        <w:pStyle w:val="Heading2"/>
      </w:pPr>
      <w:r>
        <w:t>8.3 Completion and handoff</w:t>
      </w:r>
    </w:p>
    <w:p>
      <w:r>
        <w:t>Every source handed to the author has exact identity, status, provenance and a recorded disposition. Unresolved sources remain blocked for controlled use.</w:t>
      </w:r>
    </w:p>
    <w:p>
      <w:pPr>
        <w:pStyle w:val="Heading2"/>
      </w:pPr>
      <w:r>
        <w:t>8.4 Related instructions</w:t>
      </w:r>
    </w:p>
    <w:p>
      <w:r>
        <w:t>WI-FRS-002; SOP-FRS-001 section 3.</w:t>
      </w:r>
    </w:p>
    <w:p>
      <w:pPr>
        <w:pStyle w:val="Heading2"/>
      </w:pPr>
      <w:r>
        <w:t>9. Sources and precedence</w:t>
      </w:r>
    </w:p>
    <w:p>
      <w:r>
        <w:t>Parent: SOP-FRS-001 D0.3 candidate. Owner authority instruction: this conversation, 09 Oct 2026 (authority designation only; no per-document signature/effectivity recorded). Apply the latest applicable owner instruction to authority; preserve newer-map and implementation boundaries for the matters it does not change.</w:t>
      </w:r>
    </w:p>
    <w:p>
      <w:pPr/>
      <w:r>
        <w:t>Documents/QC-OWNER-DECISION-ALL-APPROVALS-SIGNATURE-2026-10-05.md</w:t>
        <w:br/>
        <w:t>SHA-256 (file bytes): e6acc55f2ba0c7178c4c0419c6a770bfa30d13e4d56ccc34cced30ef3e57ba87</w:t>
      </w:r>
    </w:p>
    <w:p>
      <w:pPr/>
      <w:r>
        <w:t>Documents/QC-GLOBAL-ELECTRONIC-SIGNATURE-ACTION-MAP.md</w:t>
        <w:br/>
        <w:t>SHA-256 (file bytes): 776c21f5ad364a2d320ae01ed29e919aadd766b01445a06722c7753fa0dc4e14</w:t>
      </w:r>
    </w:p>
    <w:p>
      <w:pPr/>
      <w:r>
        <w:t>Documents/QC-GLOBAL-ELECTRONIC-SIGNATURE-POLICY.md</w:t>
        <w:br/>
        <w:t>SHA-256 (file bytes): 2e423283dfcbbfb053a828523ae57918698222c64c09cb27a40114c335a10298</w:t>
      </w:r>
    </w:p>
    <w:p>
      <w:pPr/>
      <w:r>
        <w:t>Documents/QC_System_WI_SOP_Pack/WIs/COMPANY-WI-SOURCE-MANIFEST.md</w:t>
        <w:br/>
        <w:t>SHA-256 (file bytes): d6895eabe94f693f223acb3dc87d0f0e0c2f2ac666568b0be8da9774efbf2727</w:t>
      </w:r>
    </w:p>
    <w:p>
      <w:pPr/>
      <w:r>
        <w:t>Documents/QC_System_WI_SOP_Pack/WIs/COMPANY-WI-SOURCE-MANIFEST.json</w:t>
        <w:br/>
        <w:t>SHA-256 (file bytes): 8050927f0a44eab29d8bdac888050b95e956cfe7ea7531a1615184f186c6ef52</w:t>
      </w:r>
    </w:p>
    <w:p>
      <w:pPr>
        <w:pStyle w:val="Heading2"/>
      </w:pPr>
      <w:r>
        <w:t>10. Revision history</w:t>
      </w:r>
    </w:p>
    <w:p>
      <w:r>
        <w:t>D0.1 candidate | 09 Oct 2026 | Initial instruction under SOP-FRS-001; owner-assigned WI-FRS numbering and authority designation; supported steps separated from blocked implementation. Prepared/reviewed/approved human signatures: NOT RECORDED. Effective date: NOT ASSIGNED.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613" w:right="936" w:bottom="1008" w:left="936" w:header="504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WI-FRS-001 | Approval NOT RECORDED | Effective date NOT ASSIGNED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5018"/>
      <w:gridCol w:w="5018"/>
    </w:tblGrid>
    <w:tr>
      <w:tc>
        <w:tcPr>
          <w:tcW w:type="dxa" w:w="5018"/>
        </w:tcPr>
        <w:p>
          <w:r>
            <w:rPr>
              <w:sz w:val="16"/>
            </w:rPr>
            <w:t>QC Operations &amp; Laboratory Management System</w:t>
            <w:br/>
            <w:t>Work Instruction</w:t>
          </w:r>
        </w:p>
      </w:tc>
      <w:tc>
        <w:tcPr>
          <w:tcW w:type="dxa" w:w="5018"/>
        </w:tcPr>
        <w:p>
          <w:r>
            <w:rPr>
              <w:sz w:val="16"/>
            </w:rPr>
            <w:t>WI-FRS-001 | D0.1 candidate</w:t>
            <w:br/>
            <w:t>Prepared: 09 Oct 2026</w:t>
          </w:r>
        </w:p>
      </w:tc>
    </w:tr>
    <w:tr>
      <w:tc>
        <w:tcPr>
          <w:tcW w:type="dxa" w:w="5018"/>
        </w:tcPr>
        <w:p>
          <w:r>
            <w:rPr>
              <w:sz w:val="16"/>
            </w:rPr>
            <w:t>Source receipt and verification</w:t>
          </w:r>
        </w:p>
      </w:tc>
      <w:tc>
        <w:tcPr>
          <w:tcW w:type="dxa" w:w="5018"/>
        </w:tcPr>
        <w:p>
          <w:r>
            <w:rPr>
              <w:sz w:val="16"/>
            </w:rPr>
            <w:t>Parent: SOP-FRS-001</w:t>
            <w:br/>
            <w:t>DRAFT FOR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038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0384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WI-FRS-001 — Source receipt and verification</dc:title>
  <dc:subject>SOP-FRS-001 supporting Work Instruction — DRAFT FOR REVIEW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