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QC-WI-002 — Open and save a receiving correction</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Correct eligible receiving fields with a source-backed reason and opened version.</w:t>
      </w:r>
    </w:p>
    <w:p>
      <w:r>
        <w:t>Implementation: SOURCE-ALIGNED DRAFT</w:t>
      </w:r>
    </w:p>
    <w:p>
      <w:pPr>
        <w:pStyle w:val="Heading1"/>
      </w:pPr>
      <w:r>
        <w:t>2. Responsibilities and review</w:t>
      </w:r>
    </w:p>
    <w:p>
      <w:r>
        <w:t>Responsible specialists: Authorized QC entry operator</w:t>
      </w:r>
    </w:p>
    <w:p>
      <w:r>
        <w:t>Review: Authorized QC entry operator</w:t>
      </w:r>
    </w:p>
    <w:p>
      <w:r>
        <w:t>Approval: Authorized QMS / Document Control approver under the approved document policy; not yet established for this draft</w:t>
      </w:r>
    </w:p>
    <w:p>
      <w:r>
        <w:t>Parent procedure: QC-SOP-005</w:t>
      </w:r>
    </w:p>
    <w:p>
      <w:pPr>
        <w:pStyle w:val="Heading1"/>
      </w:pPr>
      <w:r>
        <w:t>3. Before you start</w:t>
      </w:r>
    </w:p>
    <w:p>
      <w:r>
        <w:t>- Original evidence and corrected facts are available.</w:t>
      </w:r>
    </w:p>
    <w:p>
      <w:r>
        <w:t>- PERM-QUAR-EDIT, ownership/scope and state permit correction.</w:t>
      </w:r>
    </w:p>
    <w:p>
      <w:pPr>
        <w:pStyle w:val="Heading1"/>
      </w:pPr>
      <w:r>
        <w:t>4. Work steps and checks</w:t>
      </w:r>
    </w:p>
    <w:p>
      <w:r>
        <w:t>1. Open /quarantine/receiving/[receivingId] and confirm PENDING, READY_FOR_INSPECTION, HOLD or EXPIRED.</w:t>
      </w:r>
    </w:p>
    <w:p>
      <w:r>
        <w:t>2. Use the correction link to open the populated form; note the version that opened.</w:t>
      </w:r>
    </w:p>
    <w:p>
      <w:r>
        <w:t>3. Compare all existing values with the original document. Identify exactly what is wrong.</w:t>
      </w:r>
    </w:p>
    <w:p>
      <w:r>
        <w:t>4. Enter supported corrections to supplier, docNo, itemCode, description, lot, qty, quantityUnit, purchaseOrderNo and dates.</w:t>
      </w:r>
    </w:p>
    <w:p>
      <w:r>
        <w:t>5. Write a reason that states the original error and supporting document. Do not use a blank or unexplained “updated”.</w:t>
      </w:r>
    </w:p>
    <w:p>
      <w:r>
        <w:t>6. Submit the populated form with its expectedVersion. Keep any unsaved correction if the server rejects it.</w:t>
      </w:r>
    </w:p>
    <w:p>
      <w:r>
        <w:t>7. After confirmed success, reload and check corrected fields, new version and retained reason/history.</w:t>
      </w:r>
    </w:p>
    <w:p>
      <w:r>
        <w:t>8. Tell the inspection owner if the correction changes the work context; use the controlled inspection/HOLD route for frozen facts.</w:t>
      </w:r>
    </w:p>
    <w:p>
      <w:pPr>
        <w:pStyle w:val="Heading1"/>
      </w:pPr>
      <w:r>
        <w:t>5. Decisions, errors and stop conditions</w:t>
      </w:r>
    </w:p>
    <w:p>
      <w:r>
        <w:t>- Stale version: use QC-WI-007 and compare both records.</w:t>
      </w:r>
    </w:p>
    <w:p>
      <w:r>
        <w:t>- UNDER_INSPECTION or later frozen snapshot: do not force an edit.</w:t>
      </w:r>
    </w:p>
    <w:p>
      <w:pPr>
        <w:pStyle w:val="Heading1"/>
      </w:pPr>
      <w:r>
        <w:t>6. Records and handoff</w:t>
      </w:r>
    </w:p>
    <w:p>
      <w:r>
        <w:t>- Correction source</w:t>
      </w:r>
    </w:p>
    <w:p>
      <w:r>
        <w:t>- Reason</w:t>
      </w:r>
    </w:p>
    <w:p>
      <w:r>
        <w:t>- Reloaded corrected record</w:t>
      </w:r>
    </w:p>
    <w:p>
      <w:r>
        <w:t>- Version history</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src/modules/quarantine/receiving/application/correct-receiving.ts</w:t>
      </w:r>
    </w:p>
    <w:p>
      <w:r>
        <w:t>- src/modules/quarantine/receiving/domain/receiving-state.ts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DEC-027 — HOLD recovery and physical release label</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/quarantine/receiving</w:t>
      </w:r>
    </w:p>
    <w:p>
      <w:r>
        <w:t>- /quarantine/receiving/new</w:t>
      </w:r>
    </w:p>
    <w:p>
      <w:r>
        <w:t>- /quarantine/receiving/[receivingId]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DEC-027 — HOLD investigation and physical disposition</w:t>
      </w:r>
    </w:p>
    <w:p>
      <w:r>
        <w:t>Investigate the reason and assemble the receiving, inspection/lab, equipment, source and discrepancy evidence. The authorized disposition owner decides continued HOLD, additional work, rejection, rework or release eligibility under an approved path. Record the decision and its conditions before moving material. Warehouse verifies identity and quantity against the signed disposition.</w:t>
      </w:r>
    </w:p>
    <w:p>
      <w:r>
        <w:t>Decision and exception check: The current receiving state machine has no general outgoing HOLD transition. A proposed REMOVE_HOLD workflow must be implemented and verified under change control before digital use; do not edit the database or substitute a new receiving record. Physical release evidence and digital state must be reconciled, and no stale label is reused.</w:t>
      </w:r>
    </w:p>
    <w:p>
      <w:r>
        <w:t>Record: QC-REC-020 HOLD and disposition; QC-SOP-006; QC-WI-004/005.</w:t>
      </w:r>
    </w:p>
    <w:p>
      <w:pPr>
        <w:pStyle w:val="Heading1"/>
      </w:pPr>
      <w:r>
        <w:t>11. Official physical record workflow</w:t>
      </w:r>
    </w:p>
    <w:p>
      <w:r>
        <w:t>Start with the yellow QC copy of F-7-5-7-1 Rev5 and the delivery/PO attachments. The printed distribution assigns original to Accounts, pink to Store Keeper, yellow to QC and blue to Production. Record which physical copy was checked; keep a readable linked scan when one photograph contains several overlapping pages.</w:t>
      </w:r>
    </w:p>
    <w:p>
      <w:r>
        <w:t>Read Supplier’s Name, P.O. Ref. No., Ref. No., Ser. No. and Date independently. Ref. No. and Ser. No. may be different identifiers and must not overwrite each other. For each line, compare Sr. No., Item code no., Item Description, Unit, Qty. Received, Lot No. and Exp. Date to the actual label. Separate ordered quantity from this receipt quantity and preserve split deliveries.</w:t>
      </w:r>
    </w:p>
    <w:p>
      <w:r>
        <w:t>Count containers and reconcile line totals in the same unit. Retain the original strike-through/correction and supporting note; ask the responsible source owner to explain a disagreement. Store Keeper acknowledgment establishes the physical receipt record; it does not establish QC release. Associate the digital receiving record with its exact paper line and evidence image/page.</w:t>
      </w:r>
    </w:p>
    <w:p>
      <w:r>
        <w:t>Completion check: supplier, PO, item, lot, quantity/unit, receipt date and expiry agree across the physical item, slip and saved record; unresolved differences are linked to containment and Purchasing/Store Keeper clarification.</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