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QC-WI-004 — Place material on HOLD and preserve containment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Stop affected work and align physical containment with the digital HOLD record.</w:t>
      </w:r>
    </w:p>
    <w:p>
      <w:r>
        <w:t>Implementation: SOURCE-ALIGNED DRAFT</w:t>
      </w:r>
    </w:p>
    <w:p>
      <w:pPr>
        <w:pStyle w:val="Heading1"/>
      </w:pPr>
      <w:r>
        <w:t>2. Responsibilities and review</w:t>
      </w:r>
    </w:p>
    <w:p>
      <w:r>
        <w:t>Responsible specialists: Authorized HOLD actor; Warehouse</w:t>
      </w:r>
    </w:p>
    <w:p>
      <w:r>
        <w:t>Review: Authorized HOLD actor; Warehouse</w:t>
      </w:r>
    </w:p>
    <w:p>
      <w:r>
        <w:t>Approval: Authorized QMS / Document Control approver under the approved document policy; not yet established for this draft</w:t>
      </w:r>
    </w:p>
    <w:p>
      <w:r>
        <w:t>Parent procedure: QC-SOP-006</w:t>
      </w:r>
    </w:p>
    <w:p>
      <w:pPr>
        <w:pStyle w:val="Heading1"/>
      </w:pPr>
      <w:r>
        <w:t>3. Before you start</w:t>
      </w:r>
    </w:p>
    <w:p>
      <w:r>
        <w:t>- Affected lot and quantity are identified.</w:t>
      </w:r>
    </w:p>
    <w:p>
      <w:r>
        <w:t>- You have the HOLD action permission and expected version.</w:t>
      </w:r>
    </w:p>
    <w:p>
      <w:pPr>
        <w:pStyle w:val="Heading1"/>
      </w:pPr>
      <w:r>
        <w:t>4. Work steps and checks</w:t>
      </w:r>
    </w:p>
    <w:p>
      <w:r>
        <w:t>1. Identify the receiving record and the precise scope of uncertainty.</w:t>
      </w:r>
    </w:p>
    <w:p>
      <w:r>
        <w:t>2. Record the factual reason and affected units before changing status.</w:t>
      </w:r>
    </w:p>
    <w:p>
      <w:r>
        <w:t>3. Segregate or restrict physical use under the site containment instruction.</w:t>
      </w:r>
    </w:p>
    <w:p>
      <w:r>
        <w:t>4. Open the current receiving detail and use the supported HOLD action.</w:t>
      </w:r>
    </w:p>
    <w:p>
      <w:r>
        <w:t>5. Submit the reason and opened expectedVersion, then verify the saved HOLD state.</w:t>
      </w:r>
    </w:p>
    <w:p>
      <w:r>
        <w:t>6. Link the investigation, failed equipment, missing source or disputed result as appropriate.</w:t>
      </w:r>
    </w:p>
    <w:p>
      <w:r>
        <w:t>7. Notify the responsible work owner through the authorized operational channel; this instruction does not automatically send external messages.</w:t>
      </w:r>
    </w:p>
    <w:p>
      <w:r>
        <w:t>8. Retain HOLD until an approved disposition and supported recovery path exist. The current HOLD state has no general outgoing transition.</w:t>
      </w:r>
    </w:p>
    <w:p>
      <w:pPr>
        <w:pStyle w:val="Heading1"/>
      </w:pPr>
      <w:r>
        <w:t>5. Decisions, errors and stop conditions</w:t>
      </w:r>
    </w:p>
    <w:p>
      <w:r>
        <w:t>- Unknown write result: reconcile before another action.</w:t>
      </w:r>
    </w:p>
    <w:p>
      <w:r>
        <w:t>- A REMOVE_HOLD action type name does not establish an implemented recovery path.</w:t>
      </w:r>
    </w:p>
    <w:p>
      <w:pPr>
        <w:pStyle w:val="Heading1"/>
      </w:pPr>
      <w:r>
        <w:t>6. Records and handoff</w:t>
      </w:r>
    </w:p>
    <w:p>
      <w:r>
        <w:t>- HOLD reason and version</w:t>
      </w:r>
    </w:p>
    <w:p>
      <w:r>
        <w:t>- Physical containment scope</w:t>
      </w:r>
    </w:p>
    <w:p>
      <w:r>
        <w:t>- Investigation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src/modules/quarantine/receiving/application/hold-receiving.ts</w:t>
      </w:r>
    </w:p>
    <w:p>
      <w:r>
        <w:t>- src/modules/quarantine/receiving/domain/receiving-state.ts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DEC-027 — HOLD recovery and physical release label</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DEC-027 — HOLD investigation and physical disposition</w:t>
      </w:r>
    </w:p>
    <w:p>
      <w:r>
        <w:t>Investigate the reason and assemble the receiving, inspection/lab, equipment, source and discrepancy evidence. The authorized disposition owner decides continued HOLD, additional work, rejection, rework or release eligibility under an approved path. Record the decision and its conditions before moving material. Warehouse verifies identity and quantity against the signed disposition.</w:t>
      </w:r>
    </w:p>
    <w:p>
      <w:r>
        <w:t>Decision and exception check: The current receiving state machine has no general outgoing HOLD transition. A proposed REMOVE_HOLD workflow must be implemented and verified under change control before digital use; do not edit the database or substitute a new receiving record. Physical release evidence and digital state must be reconciled, and no stale label is reused.</w:t>
      </w:r>
    </w:p>
    <w:p>
      <w:r>
        <w:t>Record: QC-REC-020 HOLD and disposition; QC-SOP-006; QC-WI-004/005.</w:t>
      </w:r>
    </w:p>
    <w:p>
      <w:pPr>
        <w:pStyle w:val="Heading1"/>
      </w:pPr>
      <w:r>
        <w:t>11. Official physical record workflow</w:t>
      </w:r>
    </w:p>
    <w:p>
      <w:r>
        <w:t>Start with the yellow QC copy of F-7-5-7-1 Rev5 and the delivery/PO attachments. The printed distribution assigns original to Accounts, pink to Store Keeper, yellow to QC and blue to Production. Record which physical copy was checked; keep a readable linked scan when one photograph contains several overlapping pages.</w:t>
      </w:r>
    </w:p>
    <w:p>
      <w:r>
        <w:t>Read Supplier’s Name, P.O. Ref. No., Ref. No., Ser. No. and Date independently. Ref. No. and Ser. No. may be different identifiers and must not overwrite each other. For each line, compare Sr. No., Item code no., Item Description, Unit, Qty. Received, Lot No. and Exp. Date to the actual label. Separate ordered quantity from this receipt quantity and preserve split deliveries.</w:t>
      </w:r>
    </w:p>
    <w:p>
      <w:r>
        <w:t>Count containers and reconcile line totals in the same unit. Retain the original strike-through/correction and supporting note; ask the responsible source owner to explain a disagreement. Store Keeper acknowledgment establishes the physical receipt record; it does not establish QC release. Associate the digital receiving record with its exact paper line and evidence image/page.</w:t>
      </w:r>
    </w:p>
    <w:p>
      <w:r>
        <w:t>Completion check: supplier, PO, item, lot, quantity/unit, receipt date and expiry agree across the physical item, slip and saved record; unresolved differences are linked to containment and Purchasing/Store Keeper clarification.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