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QC-WI-007 — Reconcile a conflict between two record versions</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Resolve an expected-version or content-hash conflict without losing either author’s work.</w:t>
      </w:r>
    </w:p>
    <w:p>
      <w:r>
        <w:t>Implementation: SOURCE-ALIGNED DRAFT</w:t>
      </w:r>
    </w:p>
    <w:p>
      <w:pPr>
        <w:pStyle w:val="Heading1"/>
      </w:pPr>
      <w:r>
        <w:t>2. Responsibilities and review</w:t>
      </w:r>
    </w:p>
    <w:p>
      <w:r>
        <w:t>Responsible specialists: Record author; Record owner</w:t>
      </w:r>
    </w:p>
    <w:p>
      <w:r>
        <w:t>Review: Record author; Record owner</w:t>
      </w:r>
    </w:p>
    <w:p>
      <w:r>
        <w:t>Approval: Authorized QMS / Document Control approver under the approved document policy; not yet established for this draft</w:t>
      </w:r>
    </w:p>
    <w:p>
      <w:r>
        <w:t>Parent procedure: QC-SOP-005</w:t>
      </w:r>
    </w:p>
    <w:p>
      <w:pPr>
        <w:pStyle w:val="Heading1"/>
      </w:pPr>
      <w:r>
        <w:t>3. Before you start</w:t>
      </w:r>
    </w:p>
    <w:p>
      <w:r>
        <w:t>- Your opened draft and proposed changes are retained.</w:t>
      </w:r>
    </w:p>
    <w:p>
      <w:r>
        <w:t>- You can read the current authorized version.</w:t>
      </w:r>
    </w:p>
    <w:p>
      <w:pPr>
        <w:pStyle w:val="Heading1"/>
      </w:pPr>
      <w:r>
        <w:t>4. Work steps and checks</w:t>
      </w:r>
    </w:p>
    <w:p>
      <w:r>
        <w:t>1. Stop after the stale-version or content-hash conflict. Do not modify hidden version fields to force success.</w:t>
      </w:r>
    </w:p>
    <w:p>
      <w:r>
        <w:t>2. Preserve the unsaved proposed content in an authorized working location.</w:t>
      </w:r>
    </w:p>
    <w:p>
      <w:r>
        <w:t>3. Reload the current record and identify which fields or evidence changed since you opened it.</w:t>
      </w:r>
    </w:p>
    <w:p>
      <w:r>
        <w:t>4. Compare the original opened values, your proposed values and current persisted values.</w:t>
      </w:r>
    </w:p>
    <w:p>
      <w:r>
        <w:t>5. Resolve overlapping edits with the record owner; do not silently choose the newer timestamp as technical authority.</w:t>
      </w:r>
    </w:p>
    <w:p>
      <w:r>
        <w:t>6. Open a fresh eligible edit form and enter only the reconciled changes with a supported correction reason.</w:t>
      </w:r>
    </w:p>
    <w:p>
      <w:r>
        <w:t>7. Submit once using the freshly opened version/hash and wait for a definite outcome.</w:t>
      </w:r>
    </w:p>
    <w:p>
      <w:r>
        <w:t>8. Reopen and compare the final persisted content and history; return controlled work to review if its approved context changed.</w:t>
      </w:r>
    </w:p>
    <w:p>
      <w:pPr>
        <w:pStyle w:val="Heading1"/>
      </w:pPr>
      <w:r>
        <w:t>5. Decisions, errors and stop conditions</w:t>
      </w:r>
    </w:p>
    <w:p>
      <w:r>
        <w:t>- Locked record: use authorized reopen/revision, not draft edit.</w:t>
      </w:r>
    </w:p>
    <w:p>
      <w:r>
        <w:t>- Source disagreement remains unresolved: retain draft and escalate.</w:t>
      </w:r>
    </w:p>
    <w:p>
      <w:pPr>
        <w:pStyle w:val="Heading1"/>
      </w:pPr>
      <w:r>
        <w:t>6. Records and handoff</w:t>
      </w:r>
    </w:p>
    <w:p>
      <w:r>
        <w:t>- Three-way comparison</w:t>
      </w:r>
    </w:p>
    <w:p>
      <w:r>
        <w:t>- Reconciliation decision</w:t>
      </w:r>
    </w:p>
    <w:p>
      <w:r>
        <w:t>- Saved version and correction reason</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src/modules/quarantine/receiving/application/correct-receiving.ts</w:t>
      </w:r>
    </w:p>
    <w:p>
      <w:r>
        <w:t>- src/modules/documents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DEC-027 — HOLD recovery and physical release label</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/quarantine/receiving</w:t>
      </w:r>
    </w:p>
    <w:p>
      <w:r>
        <w:t>- /quarantine/receiving/new</w:t>
      </w:r>
    </w:p>
    <w:p>
      <w:r>
        <w:t>- /quarantine/receiving/[receivingId]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DEC-027 — HOLD investigation and physical disposition</w:t>
      </w:r>
    </w:p>
    <w:p>
      <w:r>
        <w:t>Investigate the reason and assemble the receiving, inspection/lab, equipment, source and discrepancy evidence. The authorized disposition owner decides continued HOLD, additional work, rejection, rework or release eligibility under an approved path. Record the decision and its conditions before moving material. Warehouse verifies identity and quantity against the signed disposition.</w:t>
      </w:r>
    </w:p>
    <w:p>
      <w:r>
        <w:t>Decision and exception check: The current receiving state machine has no general outgoing HOLD transition. A proposed REMOVE_HOLD workflow must be implemented and verified under change control before digital use; do not edit the database or substitute a new receiving record. Physical release evidence and digital state must be reconciled, and no stale label is reused.</w:t>
      </w:r>
    </w:p>
    <w:p>
      <w:r>
        <w:t>Record: QC-REC-020 HOLD and disposition; QC-SOP-006; QC-WI-004/005.</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