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QC-WI-008 — Resolve an unknown result after submission</w:t>
      </w:r>
    </w:p>
    <w:p>
      <w:r>
        <w:t>Revision D0.2 | DRAFT FOR REVIEW | Revised 2026-10-04</w:t>
      </w:r>
    </w:p>
    <w:p>
      <w:r>
        <w:t>Effective date: not recorded. Approval/signature: not recorded. This draft does not authorize testing, release, production changes or UAT acceptance.</w:t>
      </w:r>
    </w:p>
    <w:p>
      <w:pPr>
        <w:pStyle w:val="Heading1"/>
      </w:pPr>
      <w:r>
        <w:t>1. Purpose and scope</w:t>
      </w:r>
    </w:p>
    <w:p>
      <w:r>
        <w:t>Establish whether a submitted operation committed before retrying or creating another record.</w:t>
      </w:r>
    </w:p>
    <w:p>
      <w:r>
        <w:t>Implementation: SOURCE-ALIGNED DRAFT</w:t>
      </w:r>
    </w:p>
    <w:p>
      <w:pPr>
        <w:pStyle w:val="Heading1"/>
      </w:pPr>
      <w:r>
        <w:t>2. Responsibilities and review</w:t>
      </w:r>
    </w:p>
    <w:p>
      <w:r>
        <w:t>Responsible specialists: Operator; Support</w:t>
      </w:r>
    </w:p>
    <w:p>
      <w:r>
        <w:t>Review: Operator; Support</w:t>
      </w:r>
    </w:p>
    <w:p>
      <w:r>
        <w:t>Approval: Authorized QMS / Document Control approver under the approved document policy; not yet established for this draft</w:t>
      </w:r>
    </w:p>
    <w:p>
      <w:r>
        <w:t>Parent procedure: QC-SOP-028</w:t>
      </w:r>
    </w:p>
    <w:p>
      <w:pPr>
        <w:pStyle w:val="Heading1"/>
      </w:pPr>
      <w:r>
        <w:t>3. Before you start</w:t>
      </w:r>
    </w:p>
    <w:p>
      <w:r>
        <w:t>- The request time, safe request/correlation identifier and target are retained.</w:t>
      </w:r>
    </w:p>
    <w:p>
      <w:r>
        <w:t>- You can read the resulting record or obtain authorized support assistance.</w:t>
      </w:r>
    </w:p>
    <w:p>
      <w:pPr>
        <w:pStyle w:val="Heading1"/>
      </w:pPr>
      <w:r>
        <w:t>4. Work steps and checks</w:t>
      </w:r>
    </w:p>
    <w:p>
      <w:r>
        <w:t>1. When the page times out or connection ends, record that the outcome is unknown rather than failed.</w:t>
      </w:r>
    </w:p>
    <w:p>
      <w:r>
        <w:t>2. Do not immediately click create again or open a second form for the same event.</w:t>
      </w:r>
    </w:p>
    <w:p>
      <w:r>
        <w:t>3. Reauthenticate if necessary, then look up the existing record using its known business identifier.</w:t>
      </w:r>
    </w:p>
    <w:p>
      <w:r>
        <w:t>4. Compare state, version, saved values and action history with the requested operation.</w:t>
      </w:r>
    </w:p>
    <w:p>
      <w:r>
        <w:t>5. For a supported idempotent request, retain the original request key and identical payload; do not reuse the key for different content.</w:t>
      </w:r>
    </w:p>
    <w:p>
      <w:r>
        <w:t>6. If support confirms no commit and the operation remains eligible, retry through its supported action.</w:t>
      </w:r>
    </w:p>
    <w:p>
      <w:r>
        <w:t>7. If the server already committed, accept the persisted outcome and continue from that version.</w:t>
      </w:r>
    </w:p>
    <w:p>
      <w:r>
        <w:t>8. Document the resolution, including any duplicate investigation. Never delete an apparent duplicate without controlled authorization.</w:t>
      </w:r>
    </w:p>
    <w:p>
      <w:pPr>
        <w:pStyle w:val="Heading1"/>
      </w:pPr>
      <w:r>
        <w:t>5. Decisions, errors and stop conditions</w:t>
      </w:r>
    </w:p>
    <w:p>
      <w:r>
        <w:t>- No reliable readback: keep the task unresolved.</w:t>
      </w:r>
    </w:p>
    <w:p>
      <w:r>
        <w:t>- Changed payload or conflicting replay: open a new reconciled action only after the earlier outcome is established.</w:t>
      </w:r>
    </w:p>
    <w:p>
      <w:pPr>
        <w:pStyle w:val="Heading1"/>
      </w:pPr>
      <w:r>
        <w:t>6. Records and handoff</w:t>
      </w:r>
    </w:p>
    <w:p>
      <w:r>
        <w:t>- Request context</w:t>
      </w:r>
    </w:p>
    <w:p>
      <w:r>
        <w:t>- Readback evidence</w:t>
      </w:r>
    </w:p>
    <w:p>
      <w:r>
        <w:t>- Confirmed commit/no-commit</w:t>
      </w:r>
    </w:p>
    <w:p>
      <w:r>
        <w:t>- Resolution</w:t>
      </w:r>
    </w:p>
    <w:p>
      <w:r>
        <w:t>Before handoff, reopen the saved record where the application supports it and compare the result with the source. Retain an unresolved outcome as unresolved; do not infer approval from a name, signature image, task completion or test result.</w:t>
      </w:r>
    </w:p>
    <w:p>
      <w:pPr>
        <w:pStyle w:val="Heading1"/>
      </w:pPr>
      <w:r>
        <w:t>7. Sources and related documents</w:t>
      </w:r>
    </w:p>
    <w:p>
      <w:r>
        <w:t>- Documents/INCIDENT-PROBLEM-RUNBOOK.md</w:t>
      </w:r>
    </w:p>
    <w:p>
      <w:r>
        <w:t>- src/modules/backup-recovery</w:t>
      </w:r>
    </w:p>
    <w:p>
      <w:r>
        <w:t>Repository sources are bound to HEAD 435f9f704049dee4916223b24b96866d7fa9af2e. Resolve source IDs, file hashes, external editions and form originals in References (source metadata is inside Authoring_Sources.zip).</w:t>
      </w:r>
    </w:p>
    <w:p>
      <w:pPr>
        <w:pStyle w:val="Heading1"/>
      </w:pPr>
      <w:r>
        <w:t>8. Required decisions before approval</w:t>
      </w:r>
    </w:p>
    <w:p>
      <w:r>
        <w:t>- DEC-022 — Worker, telemetry and alerts</w:t>
      </w:r>
    </w:p>
    <w:p>
      <w:r>
        <w:t>Document Control records real reviewer outcomes and actual approval/effectivity only after the controlled process. Completed proposals for these decisions are provided in References/Policy_and_Method_Decision_Book.pdf. Required source evidence and owner adoption remain explicitly recorded there.</w:t>
      </w:r>
    </w:p>
    <w:p>
      <w:pPr>
        <w:pStyle w:val="Heading1"/>
      </w:pPr>
      <w:r>
        <w:t>9. Current route references</w:t>
      </w:r>
    </w:p>
    <w:p>
      <w:r>
        <w:t>- /quarantine/receiving</w:t>
      </w:r>
    </w:p>
    <w:p>
      <w:r>
        <w:t>- /quarantine/receiving/new</w:t>
      </w:r>
    </w:p>
    <w:p>
      <w:r>
        <w:t>- /quarantine/receiving/[receivingId]</w:t>
      </w:r>
    </w:p>
    <w:p>
      <w:r>
        <w:t>- /help</w:t>
      </w:r>
    </w:p>
    <w:p>
      <w:r>
        <w:t>- /404</w:t>
      </w:r>
    </w:p>
    <w:p>
      <w:r>
        <w:t>- /500</w:t>
      </w:r>
    </w:p>
    <w:p>
      <w:r>
        <w:t>Route placeholders identify existing records. Route coverage is documentation mapping, not proof that every role/state was accepted in a browser. Exact extracted field and permission strings are in References/route-coverage.pdf and References/source-contract-register.pdf.</w:t>
      </w:r>
    </w:p>
    <w:p>
      <w:r>
        <w:br/>
        <w:t>## 10. Detailed operating policy and review checks</w:t>
      </w:r>
    </w:p>
    <w:p>
      <w:r>
        <w:t>These are D0.2 proposed operating controls for adoption. Official company records remain valid physical source records; this revision does not retrospectively change their outcomes. Use the operational record named below to capture execution and exceptions.</w:t>
      </w:r>
    </w:p>
    <w:p>
      <w:r>
        <w:t>DEC-022 — Outbox worker and operator alert protocol</w:t>
      </w:r>
    </w:p>
    <w:p>
      <w:r>
        <w:t>Define the deployed worker, queue, claim/lease, retry/backoff, terminal-failure handling, scheduler and heartbeat. Record exporter destination, redaction and authorized alert receivers. Derive alert thresholds from approved service objectives and measured queue behavior. Under separate test authorization, enqueue a non-sensitive test event, track claim and attempt, obtain provider receipt and receiver acknowledgment, then prove deduplication/retry behavior.</w:t>
      </w:r>
    </w:p>
    <w:p>
      <w:r>
        <w:t>Decision and exception check: A missing heartbeat, growing oldest-event age or terminal failure creates an incident under the approved threshold. A zero queue or no-op exporter is not proof of delivery. Retain raw timestamps and provider IDs; operator acknowledgment records who acted and when. No live message is sent by this document package.</w:t>
      </w:r>
    </w:p>
    <w:p>
      <w:r>
        <w:t>Record: QC-REC-015 worker, telemetry and alert exercise; QC-WI-064.</w:t>
      </w:r>
    </w:p>
    <w:p>
      <w:pPr>
        <w:pStyle w:val="Heading1"/>
      </w:pPr>
      <w:r>
        <w:t>Revision record</w:t>
      </w:r>
    </w:p>
    <w:p>
      <w:r>
        <w:t>D0.2, 2026-10-04: expanded execution, exception and handoff controls; incorporated owner-confirmed official physical forms and completed technical decision proposals. Previous D0.1 sources are retained in History/D0.1 within Authoring_Sources.zip. Review and approval remain unrecorded.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