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QC-WI-010 — Receive and hand over laboratory samples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Document sample custody and resolve discrepancies before testing.</w:t>
      </w:r>
    </w:p>
    <w:p>
      <w:r>
        <w:t>Implementation: PROPOSED MANUAL PROCEDURE</w:t>
      </w:r>
    </w:p>
    <w:p>
      <w:pPr>
        <w:pStyle w:val="Heading1"/>
      </w:pPr>
      <w:r>
        <w:t>2. Responsibilities and review</w:t>
      </w:r>
    </w:p>
    <w:p>
      <w:r>
        <w:t>Responsible specialists: Sampler; Laboratory receiver</w:t>
      </w:r>
    </w:p>
    <w:p>
      <w:r>
        <w:t>Review: Sampler; Laboratory receiver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QC-SOP-007</w:t>
      </w:r>
    </w:p>
    <w:p>
      <w:pPr>
        <w:pStyle w:val="Heading1"/>
      </w:pPr>
      <w:r>
        <w:t>3. Before you start</w:t>
      </w:r>
    </w:p>
    <w:p>
      <w:r>
        <w:t>- A labeled sample and test request exist.</w:t>
      </w:r>
    </w:p>
    <w:p>
      <w:r>
        <w:t>- The custody record and approved handling rules are available.</w:t>
      </w:r>
    </w:p>
    <w:p>
      <w:pPr>
        <w:pStyle w:val="Heading1"/>
      </w:pPr>
      <w:r>
        <w:t>4. Work steps and checks</w:t>
      </w:r>
    </w:p>
    <w:p>
      <w:r>
        <w:t>1. Read the label and compare receiving/test reference, lot, product and sample identifier.</w:t>
      </w:r>
    </w:p>
    <w:p>
      <w:r>
        <w:t>2. Count received units and compare with the request and selection log.</w:t>
      </w:r>
    </w:p>
    <w:p>
      <w:r>
        <w:t>3. Check packaging condition, contamination concerns and required temperature/time conditions.</w:t>
      </w:r>
    </w:p>
    <w:p>
      <w:r>
        <w:t>4. Record sender, receiver, handoff time, destination, purpose and condition in the controlled custody log.</w:t>
      </w:r>
    </w:p>
    <w:p>
      <w:r>
        <w:t>5. If identity or condition is uncertain, separate the sample and seek a technical decision.</w:t>
      </w:r>
    </w:p>
    <w:p>
      <w:r>
        <w:t>6. Associate the accepted sample identifier with the correct laboratory test/run.</w:t>
      </w:r>
    </w:p>
    <w:p>
      <w:r>
        <w:t>7. At a later handoff, repeat identity, quantity and condition checks and preserve prior custody entries.</w:t>
      </w:r>
    </w:p>
    <w:p>
      <w:r>
        <w:t>8. After testing, record consumed, retained and returned quantities under the approved disposition.</w:t>
      </w:r>
    </w:p>
    <w:p>
      <w:pPr>
        <w:pStyle w:val="Heading1"/>
      </w:pPr>
      <w:r>
        <w:t>5. Decisions, errors and stop conditions</w:t>
      </w:r>
    </w:p>
    <w:p>
      <w:r>
        <w:t>- Broken custody or mixed lot: do not silently relabel.</w:t>
      </w:r>
    </w:p>
    <w:p>
      <w:r>
        <w:t>- Sample retention/disposal periods require QMS approval.</w:t>
      </w:r>
    </w:p>
    <w:p>
      <w:pPr>
        <w:pStyle w:val="Heading1"/>
      </w:pPr>
      <w:r>
        <w:t>6. Records and handoff</w:t>
      </w:r>
    </w:p>
    <w:p>
      <w:r>
        <w:t>- Custody log</w:t>
      </w:r>
    </w:p>
    <w:p>
      <w:r>
        <w:t>- Sample/run link</w:t>
      </w:r>
    </w:p>
    <w:p>
      <w:r>
        <w:t>- Discrepancy and disposition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src/modules/laboratory/domain/lab-test.ts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DEC-003 — Sampling plan</w:t>
      </w:r>
    </w:p>
    <w:p>
      <w:r>
        <w:t>- DEC-019 — Training, sample custody and movement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DEC-003 — Lot definition and sampling</w:t>
      </w:r>
    </w:p>
    <w:p>
      <w:r>
        <w:t>The QC planner selects the approved sampling procedure and records edition, lot quantity, normal/tightened/reduced status, inspection level, defect classes, AQL or alternative rationale, code letter, sample size and Ac/Re. Select across containers or production positions using the documented random/systematic method. Allocate destructive and non-destructive samples separately and prevent replacement of an unfavorable sample without an investigation.</w:t>
      </w:r>
    </w:p>
    <w:p>
      <w:r>
        <w:t>Decision and exception check: Compare total samples actually tested with the plan and reconcile extra runs, repeats and retained samples. The supplied feeding-tube record has a Sample Size entry and a different checked-quantity remark; reconcile that difference before using its plan as a precedent. A re-evaluation of a few retained items does not become acceptance of a new incoming lot.</w:t>
      </w:r>
    </w:p>
    <w:p>
      <w:r>
        <w:t>Record: QC-REC-003 sampling and custody plan; per-sample identifiers; original AQL/code/Ac/Re block.</w:t>
      </w:r>
    </w:p>
    <w:p>
      <w:r>
        <w:t>DEC-019 — Training, custody and movement</w:t>
      </w:r>
    </w:p>
    <w:p>
      <w:r>
        <w:t>The assessor observes identity checks, correct source selection, a normal task, a deliberate exception, raw-data recording and safe handoff. Record each result and restriction. Reassess following a significant method/equipment change, an observed competence failure or the approved review schedule. Training attendance alone is insufficient.</w:t>
      </w:r>
    </w:p>
    <w:p>
      <w:r>
        <w:t>Decision and exception check: For custody, record sample ID, parent lot, selection time, selector, quantity, condition, container/seal and every transfer with both parties and time. For movement, reconcile opening quantity, received/transferred, tested/destroyed, reworked, scrapped and closing balance in one unit. Discrepancies stop handoff until explained; maintain quarantine identity through transport.</w:t>
      </w:r>
    </w:p>
    <w:p>
      <w:r>
        <w:t>Record: QC-REC-003, QC-REC-010 movement, QC-REC-012 competency; QC-SOP-002/007/016.</w:t>
      </w:r>
    </w:p>
    <w:p>
      <w:pPr>
        <w:pStyle w:val="Heading1"/>
      </w:pPr>
      <w:r>
        <w:t>11. Official physical record workflow</w:t>
      </w:r>
    </w:p>
    <w:p>
      <w:r>
        <w:t>Prepare the specific company inspection form before opening the digital template. Record the form number/revision, According to WI reference, supplier or Product Re-evaluation context, PO/date, lot, received quantity, size/type/color and inspection date. A re-evaluation without a purchase order is not an invented new receipt.</w:t>
      </w:r>
    </w:p>
    <w:p>
      <w:r>
        <w:t>Give each selected piece a sample identity and retain its container/lot relationship. Execute every applicable printed point; record an observation or reading in Remarks and the required sample level/size. Follow the legend: acceptable, not acceptable, read remarks and not applicable are distinct. Explain NA against product design; do not copy NA from another lot.</w:t>
      </w:r>
    </w:p>
    <w:p>
      <w:r>
        <w:t>Reconcile AQL, Code Letter, Accept, Reject, Results and Status with actual sample counts and adverse remarks. The checkmark in Accepted is part of the original record; an unresolved unfavorable remark still requires a documented review when establishing a new digital conclusion. Preserve Checked by OBM Inspectors and Reviewed by Q.C.M as the original paper roles.</w:t>
      </w:r>
    </w:p>
    <w:p>
      <w:r>
        <w:t>Completion check: all rows and remarks are legible, sample count and subgroup totals reconcile, test references and raw readings are attached, and the review relates to the exact product/lot and form revision.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