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QC-WI-011 — Execute an inspection record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Record product inspection observations against the frozen template and source context.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Qualified QC executor</w:t>
      </w:r>
    </w:p>
    <w:p>
      <w:r>
        <w:t>Review: Qualified QC executor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QC-SOP-008</w:t>
      </w:r>
    </w:p>
    <w:p>
      <w:pPr>
        <w:pStyle w:val="Heading1"/>
      </w:pPr>
      <w:r>
        <w:t>3. Before you start</w:t>
      </w:r>
    </w:p>
    <w:p>
      <w:r>
        <w:t>- The linked inspection and samples are ready.</w:t>
      </w:r>
    </w:p>
    <w:p>
      <w:r>
        <w:t>- The source, method and criteria are approved and applicable.</w:t>
      </w:r>
    </w:p>
    <w:p>
      <w:pPr>
        <w:pStyle w:val="Heading1"/>
      </w:pPr>
      <w:r>
        <w:t>4. Work steps and checks</w:t>
      </w:r>
    </w:p>
    <w:p>
      <w:r>
        <w:t>1. Open /quarantine/inspections/[inspectionId]/execute and confirm DRAFT and the opened version.</w:t>
      </w:r>
    </w:p>
    <w:p>
      <w:r>
        <w:t>2. Compare the frozen receiving identity and template version with the physical lot.</w:t>
      </w:r>
    </w:p>
    <w:p>
      <w:r>
        <w:t>3. Read each point’s method, required evidence, unit and approved judgment rule.</w:t>
      </w:r>
    </w:p>
    <w:p>
      <w:r>
        <w:t>4. Inspect the defined sample units and record the actual observation, not only an overall pass mark.</w:t>
      </w:r>
    </w:p>
    <w:p>
      <w:r>
        <w:t>5. Link raw measurements, photos and equipment context to the point they support.</w:t>
      </w:r>
    </w:p>
    <w:p>
      <w:r>
        <w:t>6. Record remarks for discrepancies and use not-applicable only under an approved point rule.</w:t>
      </w:r>
    </w:p>
    <w:p>
      <w:r>
        <w:t>7. Save and reopen the observations to check completeness and correct sample association.</w:t>
      </w:r>
    </w:p>
    <w:p>
      <w:r>
        <w:t>8. Submit eligible completed work to Supervisor review; preserve a scientific-source blocker instead of bypassing evaluation.</w:t>
      </w:r>
    </w:p>
    <w:p>
      <w:pPr>
        <w:pStyle w:val="Heading1"/>
      </w:pPr>
      <w:r>
        <w:t>5. Decisions, errors and stop conditions</w:t>
      </w:r>
    </w:p>
    <w:p>
      <w:r>
        <w:t>- Missing scientific source: retain observations and stop official result generation.</w:t>
      </w:r>
    </w:p>
    <w:p>
      <w:r>
        <w:t>- FAIL or HOLD: follow containment and review, not release.</w:t>
      </w:r>
    </w:p>
    <w:p>
      <w:pPr>
        <w:pStyle w:val="Heading1"/>
      </w:pPr>
      <w:r>
        <w:t>6. Records and handoff</w:t>
      </w:r>
    </w:p>
    <w:p>
      <w:r>
        <w:t>- Per-point observation</w:t>
      </w:r>
    </w:p>
    <w:p>
      <w:r>
        <w:t>- Sample and source snapshot</w:t>
      </w:r>
    </w:p>
    <w:p>
      <w:r>
        <w:t>- Raw evidence</w:t>
      </w:r>
    </w:p>
    <w:p>
      <w:r>
        <w:t>- Submission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src/modules/quarantine/inspection/domain/inspection-state.ts</w:t>
      </w:r>
    </w:p>
    <w:p>
      <w:r>
        <w:t>- src/shared/routing/routes.ts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DEC-003 — Sampling plan</w:t>
      </w:r>
    </w:p>
    <w:p>
      <w:r>
        <w:t>- DEC-005 — Per-point and overall evaluation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