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QC-WI-013 — Complete QCM final approval with signature binding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Bind FINAL_APPROVE to the exact pending inspection/laboratory version.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QCM; Explicitly authorized named owner</w:t>
      </w:r>
    </w:p>
    <w:p>
      <w:r>
        <w:t>Review: QCM; Explicitly authorized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QC-SOP-011</w:t>
      </w:r>
    </w:p>
    <w:p>
      <w:pPr>
        <w:pStyle w:val="Heading1"/>
      </w:pPr>
      <w:r>
        <w:t>3. Before you start</w:t>
      </w:r>
    </w:p>
    <w:p>
      <w:r>
        <w:t>- The record is PENDING_QCM_APPROVAL.</w:t>
      </w:r>
    </w:p>
    <w:p>
      <w:r>
        <w:t>- Final authority, domain permission, scope and separation of duties pass.</w:t>
      </w:r>
    </w:p>
    <w:p>
      <w:r>
        <w:t>- The approved FINAL_APPROVE signature ceremony is available.</w:t>
      </w:r>
    </w:p>
    <w:p>
      <w:pPr>
        <w:pStyle w:val="Heading1"/>
      </w:pPr>
      <w:r>
        <w:t>4. Work steps and checks</w:t>
      </w:r>
    </w:p>
    <w:p>
      <w:r>
        <w:t>1. Open the pending record and verify its identity, version and prior Supervisor event.</w:t>
      </w:r>
    </w:p>
    <w:p>
      <w:r>
        <w:t>2. Review all technical evidence and unresolved remarks yourself.</w:t>
      </w:r>
    </w:p>
    <w:p>
      <w:r>
        <w:t>3. Select FINAL_APPROVE only if the reviewed record is still the version presented.</w:t>
      </w:r>
    </w:p>
    <w:p>
      <w:r>
        <w:t>4. Complete your own reauthentication in the supported ceremony; do not share credentials.</w:t>
      </w:r>
    </w:p>
    <w:p>
      <w:r>
        <w:t>5. Confirm the displayed signature meaning and target before submitting.</w:t>
      </w:r>
    </w:p>
    <w:p>
      <w:r>
        <w:t>6. Wait for a definite result; if unknown, reconcile using QC-WI-008.</w:t>
      </w:r>
    </w:p>
    <w:p>
      <w:r>
        <w:t>7. Reload and verify APPROVED, target version/hash, actor and decision/signature evidence.</w:t>
      </w:r>
    </w:p>
    <w:p>
      <w:r>
        <w:t>8. Leave material release to its separate receiving action and preserve the signed history.</w:t>
      </w:r>
    </w:p>
    <w:p>
      <w:pPr>
        <w:pStyle w:val="Heading1"/>
      </w:pPr>
      <w:r>
        <w:t>5. Decisions, errors and stop conditions</w:t>
      </w:r>
    </w:p>
    <w:p>
      <w:r>
        <w:t>- Stale target, failed password or missing signature policy: no approval.</w:t>
      </w:r>
    </w:p>
    <w:p>
      <w:r>
        <w:t>- A typed Approved By name cannot replace the ceremony.</w:t>
      </w:r>
    </w:p>
    <w:p>
      <w:pPr>
        <w:pStyle w:val="Heading1"/>
      </w:pPr>
      <w:r>
        <w:t>6. Records and handoff</w:t>
      </w:r>
    </w:p>
    <w:p>
      <w:r>
        <w:t>- FINAL_APPROVE decision</w:t>
      </w:r>
    </w:p>
    <w:p>
      <w:r>
        <w:t>- Binding signature</w:t>
      </w:r>
    </w:p>
    <w:p>
      <w:r>
        <w:t>- Approved record/version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Documents/OWNER-DECISION-RBAC-2026-09-23.md</w:t>
      </w:r>
    </w:p>
    <w:p>
      <w:r>
        <w:t>- src/modules/laboratory/application/final-approve-lab-test.ts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- /laboratory</w:t>
      </w:r>
    </w:p>
    <w:p>
      <w:r>
        <w:t>- /laboratory/tests</w:t>
      </w:r>
    </w:p>
    <w:p>
      <w:r>
        <w:t>- /laboratory/tests/new</w:t>
      </w:r>
    </w:p>
    <w:p>
      <w:r>
        <w:t>- /laboratory/tests/[labTestId]</w:t>
      </w:r>
    </w:p>
    <w:p>
      <w:r>
        <w:t>- /laboratory/tests/[labTestId]/execute</w:t>
      </w:r>
    </w:p>
    <w:p>
      <w:r>
        <w:t>- /laboratory/tests/[labTestId]/review</w:t>
      </w:r>
    </w:p>
    <w:p>
      <w:r>
        <w:t>- /laboratory/tests/[labTestId]/retests/new</w:t>
      </w:r>
    </w:p>
    <w:p>
      <w:r>
        <w:t>- /approvals</w:t>
      </w:r>
    </w:p>
    <w:p>
      <w:r>
        <w:t>- /approvals/[approvalId]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