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QC-WI-016 — Record a laboratory run and equipment context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Bind samples, raw readings and calibration context to one identified execution.</w:t>
      </w:r>
    </w:p>
    <w:p>
      <w:r>
        <w:t>Implementation: SOURCE-ALIGNED DRAFT</w:t>
      </w:r>
    </w:p>
    <w:p>
      <w:pPr>
        <w:pStyle w:val="Heading1"/>
      </w:pPr>
      <w:r>
        <w:t>2. Responsibilities and review</w:t>
      </w:r>
    </w:p>
    <w:p>
      <w:r>
        <w:t>Responsible specialists: Qualified laboratory operator</w:t>
      </w:r>
    </w:p>
    <w:p>
      <w:r>
        <w:t>Review: Qualified laboratory operator</w:t>
      </w:r>
    </w:p>
    <w:p>
      <w:r>
        <w:t>Approval: Authorized QMS / Document Control approver under the approved document policy; not yet established for this draft</w:t>
      </w:r>
    </w:p>
    <w:p>
      <w:r>
        <w:t>Parent procedure: QC-SOP-009</w:t>
      </w:r>
    </w:p>
    <w:p>
      <w:pPr>
        <w:pStyle w:val="Heading1"/>
      </w:pPr>
      <w:r>
        <w:t>3. Before you start</w:t>
      </w:r>
    </w:p>
    <w:p>
      <w:r>
        <w:t>- The test is eligible for run entry.</w:t>
      </w:r>
    </w:p>
    <w:p>
      <w:r>
        <w:t>- The method and equipment are approved and equipment eligibility passes.</w:t>
      </w:r>
    </w:p>
    <w:p>
      <w:pPr>
        <w:pStyle w:val="Heading1"/>
      </w:pPr>
      <w:r>
        <w:t>4. Work steps and checks</w:t>
      </w:r>
    </w:p>
    <w:p>
      <w:r>
        <w:t>1. Open the test execution surface and read its frozen method context.</w:t>
      </w:r>
    </w:p>
    <w:p>
      <w:r>
        <w:t>2. Identify the run and samples actually tested together.</w:t>
      </w:r>
    </w:p>
    <w:p>
      <w:r>
        <w:t>3. Check equipment ACTIVE state, maintenance status and matching CURRENT non-overdue calibration.</w:t>
      </w:r>
    </w:p>
    <w:p>
      <w:r>
        <w:t>4. Record the exact equipment/calibration reference and required setup context.</w:t>
      </w:r>
    </w:p>
    <w:p>
      <w:r>
        <w:t>5. Use the approved method to prepare fixtures, medium and reference checks.</w:t>
      </w:r>
    </w:p>
    <w:p>
      <w:r>
        <w:t>6. Record actual environment and run timing where required by the method.</w:t>
      </w:r>
    </w:p>
    <w:p>
      <w:r>
        <w:t>7. Acquire each replicate against its sample and parameter; preserve the instrument file/print.</w:t>
      </w:r>
    </w:p>
    <w:p>
      <w:r>
        <w:t>8. Save and reopen the run to verify sample/run/equipment relationships.</w:t>
      </w:r>
    </w:p>
    <w:p>
      <w:pPr>
        <w:pStyle w:val="Heading1"/>
      </w:pPr>
      <w:r>
        <w:t>5. Decisions, errors and stop conditions</w:t>
      </w:r>
    </w:p>
    <w:p>
      <w:r>
        <w:t>- Ineligible or unavailable equipment source: stop testing.</w:t>
      </w:r>
    </w:p>
    <w:p>
      <w:r>
        <w:t>- Equipment failure mid-run: preserve partial data and use QC-WI-041.</w:t>
      </w:r>
    </w:p>
    <w:p>
      <w:pPr>
        <w:pStyle w:val="Heading1"/>
      </w:pPr>
      <w:r>
        <w:t>6. Records and handoff</w:t>
      </w:r>
    </w:p>
    <w:p>
      <w:r>
        <w:t>- Run identity</w:t>
      </w:r>
    </w:p>
    <w:p>
      <w:r>
        <w:t>- Sample mapping</w:t>
      </w:r>
    </w:p>
    <w:p>
      <w:r>
        <w:t>- Equipment/calibration snapshot</w:t>
      </w:r>
    </w:p>
    <w:p>
      <w:r>
        <w:t>- Raw readings</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src/modules/laboratory/application/record-lab-run.ts</w:t>
      </w:r>
    </w:p>
    <w:p>
      <w:r>
        <w:t>- src/modules/laboratory/application/record-run-equipment.ts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DEC-002 — Leak-test equipment manual and safety</w:t>
      </w:r>
    </w:p>
    <w:p>
      <w:r>
        <w:t>- DEC-005 — Per-point and overall evaluation</w:t>
      </w:r>
    </w:p>
    <w:p>
      <w:r>
        <w:t>- DEC-006 — Leak calculation validation</w:t>
      </w:r>
    </w:p>
    <w:p>
      <w:r>
        <w:t>- DEC-026 — Retest, invalid work and lab rejection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w:t>
      </w:r>
    </w:p>
    <w:p>
      <w:r>
        <w:t>- /laboratory/tests</w:t>
      </w:r>
    </w:p>
    <w:p>
      <w:r>
        <w:t>- /laboratory/tests/new</w:t>
      </w:r>
    </w:p>
    <w:p>
      <w:r>
        <w:t>- /laboratory/tests/[labTestId]</w:t>
      </w:r>
    </w:p>
    <w:p>
      <w:r>
        <w:t>- /laboratory/tests/[labTestId]/execute</w:t>
      </w:r>
    </w:p>
    <w:p>
      <w:r>
        <w:t>- /laboratory/tests/[labTestId]/review</w:t>
      </w:r>
    </w:p>
    <w:p>
      <w:r>
        <w:t>- /laboratory/tests/[labTestId]/retests/new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DEC-006 — Calculation validation and discrepancy handling</w:t>
      </w:r>
    </w:p>
    <w:p>
      <w:r>
        <w:t>For an engineering check under constant effective volume and approximately isothermal conditions, propose q = V × abs(Pstart - Pend) / elapsed time. Use Pa, cm³ and seconds consistently; kPa converts to Pa by 1000 and litres to cm³ by 1000. Document whether pressures are gauge or absolute and whether compensation, reference volume, compliance, background or standard-condition normalization applies. Validate against the actual manufacturer algorithm before official use.</w:t>
      </w:r>
    </w:p>
    <w:p>
      <w:r>
        <w:t>Decision and exception check: Observed discrepancy for investigation: IMG-048 print shows V=2.04 cm³, 330.781 and 327.852 kPa, 20 s and an output 2981 Pa·cm³/s. The simple dimensional check gives 298.758 Pa·cm³/s. These differ by about tenfold. This is not proof of an incorrect machine; printed volume/time semantics or internal scaling may differ. Require an explanation and validation dataset.</w:t>
      </w:r>
    </w:p>
    <w:p>
      <w:r>
        <w:t>Record: QC-REC-006 calculation validation: raw readings, units, formula/version, instrument output, independent result, difference and reviewer disposition.</w:t>
      </w:r>
    </w:p>
    <w:p>
      <w:r>
        <w:t>DEC-026 — Invalid test, retest and rejection</w:t>
      </w:r>
    </w:p>
    <w:p>
      <w:r>
        <w:t>Contain affected material, identify all runs since the last valid control and record the reason for invalidation or retest. The method owner approves sample selection, repeat count, conditions and the rule for combining or separately reporting results before retesting. Link the new run to the original and preserve the operator, time, equipment and source revisions.</w:t>
      </w:r>
    </w:p>
    <w:p>
      <w:r>
        <w:t>Decision and exception check: A confirmed product failure proceeds to the authorized nonconformance/disposition process. A passing retest does not erase a failing result. Ambiguous results remain HOLD/further evaluation until reviewed. The current digital lab reject path remains policy-blocked where PD-38 authority is not established; no alternate route is proposed.</w:t>
      </w:r>
    </w:p>
    <w:p>
      <w:r>
        <w:t>Record: QC-REC-019 invalidation and retest authorization; QC-SOP-012; QC-WI-020/042.</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