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QC-WI-018 — Attach and verify raw laboratory evidence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Associate an original file with the record and verify identity and retrievability.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Laboratory; Authorized evidence uploader</w:t>
      </w:r>
    </w:p>
    <w:p>
      <w:r>
        <w:t>Review: Laboratory; Authorized evidence uploader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QC-SOP-010</w:t>
      </w:r>
    </w:p>
    <w:p>
      <w:pPr>
        <w:pStyle w:val="Heading1"/>
      </w:pPr>
      <w:r>
        <w:t>3. Before you start</w:t>
      </w:r>
    </w:p>
    <w:p>
      <w:r>
        <w:t>- The original file or printout is available.</w:t>
      </w:r>
    </w:p>
    <w:p>
      <w:r>
        <w:t>- File policy and permitted evidence operation are established.</w:t>
      </w:r>
    </w:p>
    <w:p>
      <w:pPr>
        <w:pStyle w:val="Heading1"/>
      </w:pPr>
      <w:r>
        <w:t>4. Work steps and checks</w:t>
      </w:r>
    </w:p>
    <w:p>
      <w:r>
        <w:t>1. Identify the file’s instrument, run, sample and acquisition time.</w:t>
      </w:r>
    </w:p>
    <w:p>
      <w:r>
        <w:t>2. Keep an original read-only copy; do not overwrite it with a cleaned or cropped derivative.</w:t>
      </w:r>
    </w:p>
    <w:p>
      <w:r>
        <w:t>3. Register/upload through the supported evidence boundary and permitted file policy.</w:t>
      </w:r>
    </w:p>
    <w:p>
      <w:r>
        <w:t>4. Record the returned file identifier and stored digest where the operation provides them.</w:t>
      </w:r>
    </w:p>
    <w:p>
      <w:r>
        <w:t>5. Link the file to the correct test and identify the observations it supports.</w:t>
      </w:r>
    </w:p>
    <w:p>
      <w:r>
        <w:t>6. Open the stored file and confirm that it is readable and complete.</w:t>
      </w:r>
    </w:p>
    <w:p>
      <w:r>
        <w:t>7. Record a derivative separately if it is needed for readability, preserving the original hash and relationship.</w:t>
      </w:r>
    </w:p>
    <w:p>
      <w:r>
        <w:t>8. Hand the record and evidence link to the reviewer; flag scan, retention or retrieval limitations separately.</w:t>
      </w:r>
    </w:p>
    <w:p>
      <w:pPr>
        <w:pStyle w:val="Heading1"/>
      </w:pPr>
      <w:r>
        <w:t>5. Decisions, errors and stop conditions</w:t>
      </w:r>
    </w:p>
    <w:p>
      <w:r>
        <w:t>- Unreadable, mismatched or unregistered file: no scientific conclusion from it.</w:t>
      </w:r>
    </w:p>
    <w:p>
      <w:r>
        <w:t>- A file name is not an approved source identity.</w:t>
      </w:r>
    </w:p>
    <w:p>
      <w:pPr>
        <w:pStyle w:val="Heading1"/>
      </w:pPr>
      <w:r>
        <w:t>6. Records and handoff</w:t>
      </w:r>
    </w:p>
    <w:p>
      <w:r>
        <w:t>- Original file</w:t>
      </w:r>
    </w:p>
    <w:p>
      <w:r>
        <w:t>- Registered ID/digest</w:t>
      </w:r>
    </w:p>
    <w:p>
      <w:r>
        <w:t>- Run/sample relationship</w:t>
      </w:r>
    </w:p>
    <w:p>
      <w:r>
        <w:t>- Retrieval check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Documents/DATA-GOVERNANCE-REGISTER-032.md</w:t>
      </w:r>
    </w:p>
    <w:p>
      <w:r>
        <w:t>- src/modules/laboratory/domain/measurement.ts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DEC-006 — Leak calculation validation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/laboratory</w:t>
      </w:r>
    </w:p>
    <w:p>
      <w:r>
        <w:t>- /laboratory/tests</w:t>
      </w:r>
    </w:p>
    <w:p>
      <w:r>
        <w:t>- /laboratory/tests/new</w:t>
      </w:r>
    </w:p>
    <w:p>
      <w:r>
        <w:t>- /laboratory/tests/[labTestId]</w:t>
      </w:r>
    </w:p>
    <w:p>
      <w:r>
        <w:t>- /laboratory/tests/[labTestId]/execute</w:t>
      </w:r>
    </w:p>
    <w:p>
      <w:r>
        <w:t>- /laboratory/tests/[labTestId]/review</w:t>
      </w:r>
    </w:p>
    <w:p>
      <w:r>
        <w:t>- /laboratory/tests/[labTestId]/retests/new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DEC-006 — Calculation validation and discrepancy handling</w:t>
      </w:r>
    </w:p>
    <w:p>
      <w:r>
        <w:t>For an engineering check under constant effective volume and approximately isothermal conditions, propose q = V × abs(Pstart - Pend) / elapsed time. Use Pa, cm³ and seconds consistently; kPa converts to Pa by 1000 and litres to cm³ by 1000. Document whether pressures are gauge or absolute and whether compensation, reference volume, compliance, background or standard-condition normalization applies. Validate against the actual manufacturer algorithm before official use.</w:t>
      </w:r>
    </w:p>
    <w:p>
      <w:r>
        <w:t>Decision and exception check: Observed discrepancy for investigation: IMG-048 print shows V=2.04 cm³, 330.781 and 327.852 kPa, 20 s and an output 2981 Pa·cm³/s. The simple dimensional check gives 298.758 Pa·cm³/s. These differ by about tenfold. This is not proof of an incorrect machine; printed volume/time semantics or internal scaling may differ. Require an explanation and validation dataset.</w:t>
      </w:r>
    </w:p>
    <w:p>
      <w:r>
        <w:t>Record: QC-REC-006 calculation validation: raw readings, units, formula/version, instrument output, independent result, difference and reviewer disposition.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