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QC-WI-026 — Create a factual Finding</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Capture an observable concern with traceable evidence and containment context.</w:t>
      </w:r>
    </w:p>
    <w:p>
      <w:r>
        <w:t>Implementation: SOURCE-ALIGNED DRAFT</w:t>
      </w:r>
    </w:p>
    <w:p>
      <w:pPr>
        <w:pStyle w:val="Heading1"/>
      </w:pPr>
      <w:r>
        <w:t>2. Responsibilities and review</w:t>
      </w:r>
    </w:p>
    <w:p>
      <w:r>
        <w:t>Responsible specialists: QC entry operator</w:t>
      </w:r>
    </w:p>
    <w:p>
      <w:r>
        <w:t>Review: QC entry operator</w:t>
      </w:r>
    </w:p>
    <w:p>
      <w:r>
        <w:t>Approval: Authorized QMS / Document Control approver under the approved document policy; not yet established for this draft</w:t>
      </w:r>
    </w:p>
    <w:p>
      <w:r>
        <w:t>Parent procedure: QC-SOP-017</w:t>
      </w:r>
    </w:p>
    <w:p>
      <w:pPr>
        <w:pStyle w:val="Heading1"/>
      </w:pPr>
      <w:r>
        <w:t>3. Before you start</w:t>
      </w:r>
    </w:p>
    <w:p>
      <w:r>
        <w:t>- Evidence and affected product/process are identifiable.</w:t>
      </w:r>
    </w:p>
    <w:p>
      <w:r>
        <w:t>- PERM-FIND-CREATE and scope apply.</w:t>
      </w:r>
    </w:p>
    <w:p>
      <w:pPr>
        <w:pStyle w:val="Heading1"/>
      </w:pPr>
      <w:r>
        <w:t>4. Work steps and checks</w:t>
      </w:r>
    </w:p>
    <w:p>
      <w:r>
        <w:t>1. Describe what was observed, where and when.</w:t>
      </w:r>
    </w:p>
    <w:p>
      <w:r>
        <w:t>2. Separate the observed fact from a suspected cause.</w:t>
      </w:r>
    </w:p>
    <w:p>
      <w:r>
        <w:t>3. Open /quality/findings/new and enter a clear title and description.</w:t>
      </w:r>
    </w:p>
    <w:p>
      <w:r>
        <w:t>4. Include affected lot/record references and supporting evidence through supported fields.</w:t>
      </w:r>
    </w:p>
    <w:p>
      <w:r>
        <w:t>5. Record immediate containment in the approved operational record.</w:t>
      </w:r>
    </w:p>
    <w:p>
      <w:r>
        <w:t>6. Save and reopen to verify identity and evidence links.</w:t>
      </w:r>
    </w:p>
    <w:p>
      <w:r>
        <w:t>7. Use supported submission/review actions only when their prerequisites pass.</w:t>
      </w:r>
    </w:p>
    <w:p>
      <w:r>
        <w:t>8. Hand the finding to the quality owner for classification and NCR decision.</w:t>
      </w:r>
    </w:p>
    <w:p>
      <w:pPr>
        <w:pStyle w:val="Heading1"/>
      </w:pPr>
      <w:r>
        <w:t>5. Decisions, errors and stop conditions</w:t>
      </w:r>
    </w:p>
    <w:p>
      <w:r>
        <w:t>- Unknown affected scope: record it explicitly and investigate.</w:t>
      </w:r>
    </w:p>
    <w:p>
      <w:r>
        <w:t>- Creation does not grant closure authority.</w:t>
      </w:r>
    </w:p>
    <w:p>
      <w:pPr>
        <w:pStyle w:val="Heading1"/>
      </w:pPr>
      <w:r>
        <w:t>6. Records and handoff</w:t>
      </w:r>
    </w:p>
    <w:p>
      <w:r>
        <w:t>- Finding</w:t>
      </w:r>
    </w:p>
    <w:p>
      <w:r>
        <w:t>- Evidence</w:t>
      </w:r>
    </w:p>
    <w:p>
      <w:r>
        <w:t>- Containment scope</w:t>
      </w:r>
    </w:p>
    <w:p>
      <w:r>
        <w:t>- Quality-owner handoff</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src/modules/quality/findings/domain/finding.ts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DEC-018 — Quality prerequisites and effectiveness</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/quality</w:t>
      </w:r>
    </w:p>
    <w:p>
      <w:r>
        <w:t>- /quality/findings</w:t>
      </w:r>
    </w:p>
    <w:p>
      <w:r>
        <w:t>- /quality/findings/new</w:t>
      </w:r>
    </w:p>
    <w:p>
      <w:r>
        <w:t>- /quality/findings/[findingId]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DEC-018 — Finding to CAPA lifecycle</w:t>
      </w:r>
    </w:p>
    <w:p>
      <w:r>
        <w:t>At NCR creation, link the finding, source requirement, product/lot/process, immediate containment, risk assessment and owner. At RCA review, distinguish verified causes from hypotheses and include evidence that could disprove the cause. At CAPA planning, assign each action, due date, completion evidence, verifier and effectiveness measure with a justified observation period.</w:t>
      </w:r>
    </w:p>
    <w:p>
      <w:r>
        <w:t>Decision and exception check: An action marked complete is not proof of effectiveness. Record the planned versus actual observation window and denominator of opportunities or recurrence. Preserve the source P-04 exceptional Supervisor closure with its reason, reauthentication/signature and residual-risk follow-up; do not label incomplete or ineffective work effective merely because closure is permitted.</w:t>
      </w:r>
    </w:p>
    <w:p>
      <w:r>
        <w:t>Record: QC-REC-011 quality investigation and effectiveness record; QC-SOP-017/018.</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