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QC-WI-031 — Assign, complete and hand over a task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Track a concrete deliverable and its handoff.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Task creator; Assignee</w:t>
      </w:r>
    </w:p>
    <w:p>
      <w:r>
        <w:t>Review: Task creator; Assignee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QC-SOP-019</w:t>
      </w:r>
    </w:p>
    <w:p>
      <w:pPr>
        <w:pStyle w:val="Heading1"/>
      </w:pPr>
      <w:r>
        <w:t>3. Before you start</w:t>
      </w:r>
    </w:p>
    <w:p>
      <w:r>
        <w:t>- The required output and related QC record are known.</w:t>
      </w:r>
    </w:p>
    <w:p>
      <w:r>
        <w:t>- Task grants and scope apply.</w:t>
      </w:r>
    </w:p>
    <w:p>
      <w:pPr>
        <w:pStyle w:val="Heading1"/>
      </w:pPr>
      <w:r>
        <w:t>4. Work steps and checks</w:t>
      </w:r>
    </w:p>
    <w:p>
      <w:r>
        <w:t>1. Open /tasks/new and write a specific task title and deliverable.</w:t>
      </w:r>
    </w:p>
    <w:p>
      <w:r>
        <w:t>2. Assign the responsible person and supported due/context fields.</w:t>
      </w:r>
    </w:p>
    <w:p>
      <w:r>
        <w:t>3. Link the relevant controlled record in its supported context.</w:t>
      </w:r>
    </w:p>
    <w:p>
      <w:r>
        <w:t>4. Save and verify the assignee and task version.</w:t>
      </w:r>
    </w:p>
    <w:p>
      <w:r>
        <w:t>5. The assignee starts work only after checking prerequisites.</w:t>
      </w:r>
    </w:p>
    <w:p>
      <w:r>
        <w:t>6. Record progress, blockers and output evidence.</w:t>
      </w:r>
    </w:p>
    <w:p>
      <w:r>
        <w:t>7. Use the supported completion action after the deliverable exists.</w:t>
      </w:r>
    </w:p>
    <w:p>
      <w:r>
        <w:t>8. Hand the output to its recipient; use the domain approval workflow separately.</w:t>
      </w:r>
    </w:p>
    <w:p>
      <w:pPr>
        <w:pStyle w:val="Heading1"/>
      </w:pPr>
      <w:r>
        <w:t>5. Decisions, errors and stop conditions</w:t>
      </w:r>
    </w:p>
    <w:p>
      <w:r>
        <w:t>- No required source: keep work blocked.</w:t>
      </w:r>
    </w:p>
    <w:p>
      <w:r>
        <w:t>- Task complete is not product released or report approved.</w:t>
      </w:r>
    </w:p>
    <w:p>
      <w:pPr>
        <w:pStyle w:val="Heading1"/>
      </w:pPr>
      <w:r>
        <w:t>6. Records and handoff</w:t>
      </w:r>
    </w:p>
    <w:p>
      <w:r>
        <w:t>- Task</w:t>
      </w:r>
    </w:p>
    <w:p>
      <w:r>
        <w:t>- Assignment</w:t>
      </w:r>
    </w:p>
    <w:p>
      <w:r>
        <w:t>- Output</w:t>
      </w:r>
    </w:p>
    <w:p>
      <w:r>
        <w:t>- Handoff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src/modules/tasks/domain/state.ts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DEC-019 — Training, sample custody and movement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/tasks</w:t>
      </w:r>
    </w:p>
    <w:p>
      <w:r>
        <w:t>- /tasks/new</w:t>
      </w:r>
    </w:p>
    <w:p>
      <w:r>
        <w:t>- /tasks/[taskId]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DEC-019 — Training, custody and movement</w:t>
      </w:r>
    </w:p>
    <w:p>
      <w:r>
        <w:t>The assessor observes identity checks, correct source selection, a normal task, a deliberate exception, raw-data recording and safe handoff. Record each result and restriction. Reassess following a significant method/equipment change, an observed competence failure or the approved review schedule. Training attendance alone is insufficient.</w:t>
      </w:r>
    </w:p>
    <w:p>
      <w:r>
        <w:t>Decision and exception check: For custody, record sample ID, parent lot, selection time, selector, quantity, condition, container/seal and every transfer with both parties and time. For movement, reconcile opening quantity, received/transferred, tested/destroyed, reworked, scrapped and closing balance in one unit. Discrepancies stop handoff until explained; maintain quarantine identity through transport.</w:t>
      </w:r>
    </w:p>
    <w:p>
      <w:r>
        <w:t>Record: QC-REC-003, QC-REC-010 movement, QC-REC-012 competency; QC-SOP-002/007/016.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