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QC-WI-032 — Register and inspect an equipment asset</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Create a reliable asset identity and verify physical condition.</w:t>
      </w:r>
    </w:p>
    <w:p>
      <w:r>
        <w:t>Implementation: SOURCE-ALIGNED DRAFT</w:t>
      </w:r>
    </w:p>
    <w:p>
      <w:pPr>
        <w:pStyle w:val="Heading1"/>
      </w:pPr>
      <w:r>
        <w:t>2. Responsibilities and review</w:t>
      </w:r>
    </w:p>
    <w:p>
      <w:r>
        <w:t>Responsible specialists: Asset entry operator; Equipment owner</w:t>
      </w:r>
    </w:p>
    <w:p>
      <w:r>
        <w:t>Review: Asset entry operator; Equipment owner</w:t>
      </w:r>
    </w:p>
    <w:p>
      <w:r>
        <w:t>Approval: Authorized QMS / Document Control approver under the approved document policy; not yet established for this draft</w:t>
      </w:r>
    </w:p>
    <w:p>
      <w:r>
        <w:t>Parent procedure: QC-SOP-020</w:t>
      </w:r>
    </w:p>
    <w:p>
      <w:pPr>
        <w:pStyle w:val="Heading1"/>
      </w:pPr>
      <w:r>
        <w:t>3. Before you start</w:t>
      </w:r>
    </w:p>
    <w:p>
      <w:r>
        <w:t>- Manufacturer/model/serial evidence and asset label exist.</w:t>
      </w:r>
    </w:p>
    <w:p>
      <w:r>
        <w:t>- PERM-EQP-CREATE and authorized scope apply.</w:t>
      </w:r>
    </w:p>
    <w:p>
      <w:pPr>
        <w:pStyle w:val="Heading1"/>
      </w:pPr>
      <w:r>
        <w:t>4. Work steps and checks</w:t>
      </w:r>
    </w:p>
    <w:p>
      <w:r>
        <w:t>1. Read the physical label and manufacturer evidence.</w:t>
      </w:r>
    </w:p>
    <w:p>
      <w:r>
        <w:t>2. Open /assets/equipment/new and enter supported identity fields.</w:t>
      </w:r>
    </w:p>
    <w:p>
      <w:r>
        <w:t>3. Keep asset identity distinct from calibration certificate number.</w:t>
      </w:r>
    </w:p>
    <w:p>
      <w:r>
        <w:t>4. Record intended method use in the controlled equipment documentation.</w:t>
      </w:r>
    </w:p>
    <w:p>
      <w:r>
        <w:t>5. Save and reopen the asset record.</w:t>
      </w:r>
    </w:p>
    <w:p>
      <w:r>
        <w:t>6. Compare label, model/serial and stored identity.</w:t>
      </w:r>
    </w:p>
    <w:p>
      <w:r>
        <w:t>7. Inspect condition and identify missing suitability/manual evidence.</w:t>
      </w:r>
    </w:p>
    <w:p>
      <w:r>
        <w:t>8. Hand the equipment record to calibration/maintenance control before controlled use.</w:t>
      </w:r>
    </w:p>
    <w:p>
      <w:pPr>
        <w:pStyle w:val="Heading1"/>
      </w:pPr>
      <w:r>
        <w:t>5. Decisions, errors and stop conditions</w:t>
      </w:r>
    </w:p>
    <w:p>
      <w:r>
        <w:t>- Unknown identity: do not fabricate a serial number.</w:t>
      </w:r>
    </w:p>
    <w:p>
      <w:r>
        <w:t>- Registration does not prove fitness for use.</w:t>
      </w:r>
    </w:p>
    <w:p>
      <w:pPr>
        <w:pStyle w:val="Heading1"/>
      </w:pPr>
      <w:r>
        <w:t>6. Records and handoff</w:t>
      </w:r>
    </w:p>
    <w:p>
      <w:r>
        <w:t>- Asset record</w:t>
      </w:r>
    </w:p>
    <w:p>
      <w:r>
        <w:t>- Physical identity check</w:t>
      </w:r>
    </w:p>
    <w:p>
      <w:r>
        <w:t>- Suitability/manual source</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src/modules/assets/equipment/domain/equipment.ts</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DEC-002 — Leak-test equipment manual and safety</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/assets</w:t>
      </w:r>
    </w:p>
    <w:p>
      <w:r>
        <w:t>- /assets/equipment</w:t>
      </w:r>
    </w:p>
    <w:p>
      <w:r>
        <w:t>- /assets/equipment/new</w:t>
      </w:r>
    </w:p>
    <w:p>
      <w:r>
        <w:t>- /assets/equipment/[equipmentId]</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DEC-002 — Equipment readiness and safe operation</w:t>
      </w:r>
    </w:p>
    <w:p>
      <w:r>
        <w:t>At the instrument, read the nameplate and record asset ID, manufacturer/model, serial, controller/software version, pressure sensor ranges, fixture identity, regulator and reference device. Match the calibration certificate to that serial and range. Attach the actual operator manual and identify its sections for connection, pressurization, isolation, emergency stop and safe venting. Record pre-use checks with a known reference and fixture/background leak check under that manual.</w:t>
      </w:r>
    </w:p>
    <w:p>
      <w:r>
        <w:t>Decision and exception check: Stop for an unreadable label, expired or mismatched calibration, damaged connection, failed reference check or an uncontrolled program. Make the system safe using the instrument procedure; retain the failed run and identify all affected work since the last acceptable check. A maintenance completion requires a documented return-to-use check.</w:t>
      </w:r>
    </w:p>
    <w:p>
      <w:r>
        <w:t>Record: QC-REC-002 equipment readiness and run setup; equipment/calibration/maintenance records.</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