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QC-WI-034 — Record maintenance and return-to-use checks</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Preserve repair history and demonstrate suitability before use.</w:t>
      </w:r>
    </w:p>
    <w:p>
      <w:r>
        <w:t>Implementation: SOURCE-ALIGNED DRAFT</w:t>
      </w:r>
    </w:p>
    <w:p>
      <w:pPr>
        <w:pStyle w:val="Heading1"/>
      </w:pPr>
      <w:r>
        <w:t>2. Responsibilities and review</w:t>
      </w:r>
    </w:p>
    <w:p>
      <w:r>
        <w:t>Responsible specialists: Maintenance; Equipment owner</w:t>
      </w:r>
    </w:p>
    <w:p>
      <w:r>
        <w:t>Review: Maintenance; Equipment owner</w:t>
      </w:r>
    </w:p>
    <w:p>
      <w:r>
        <w:t>Approval: Authorized QMS / Document Control approver under the approved document policy; not yet established for this draft</w:t>
      </w:r>
    </w:p>
    <w:p>
      <w:r>
        <w:t>Parent procedure: QC-SOP-021</w:t>
      </w:r>
    </w:p>
    <w:p>
      <w:pPr>
        <w:pStyle w:val="Heading1"/>
      </w:pPr>
      <w:r>
        <w:t>3. Before you start</w:t>
      </w:r>
    </w:p>
    <w:p>
      <w:r>
        <w:t>- The equipment and maintenance scope are known.</w:t>
      </w:r>
    </w:p>
    <w:p>
      <w:r>
        <w:t>- PERM-MNT-CREATE and transition grants apply.</w:t>
      </w:r>
    </w:p>
    <w:p>
      <w:pPr>
        <w:pStyle w:val="Heading1"/>
      </w:pPr>
      <w:r>
        <w:t>4. Work steps and checks</w:t>
      </w:r>
    </w:p>
    <w:p>
      <w:r>
        <w:t>1. Identify the failed/serviced equipment and stop affected use.</w:t>
      </w:r>
    </w:p>
    <w:p>
      <w:r>
        <w:t>2. Open /assets/maintenance/new and link the asset.</w:t>
      </w:r>
    </w:p>
    <w:p>
      <w:r>
        <w:t>3. Describe fault, work request and supporting evidence.</w:t>
      </w:r>
    </w:p>
    <w:p>
      <w:r>
        <w:t>4. Record the actual work, parts and test evidence in supported fields/attachments.</w:t>
      </w:r>
    </w:p>
    <w:p>
      <w:r>
        <w:t>5. Maintain ineligible status while blocking maintenance is active.</w:t>
      </w:r>
    </w:p>
    <w:p>
      <w:r>
        <w:t>6. Complete only permitted transitions with required reasons and current version.</w:t>
      </w:r>
    </w:p>
    <w:p>
      <w:r>
        <w:t>7. Perform approved functional/calibration checks after work.</w:t>
      </w:r>
    </w:p>
    <w:p>
      <w:r>
        <w:t>8. Verify eligibility and authorize return to use under the approved owner decision.</w:t>
      </w:r>
    </w:p>
    <w:p>
      <w:pPr>
        <w:pStyle w:val="Heading1"/>
      </w:pPr>
      <w:r>
        <w:t>5. Decisions, errors and stop conditions</w:t>
      </w:r>
    </w:p>
    <w:p>
      <w:r>
        <w:t>- VOID or another unsupported transition remains denied.</w:t>
      </w:r>
    </w:p>
    <w:p>
      <w:r>
        <w:t>- Repair completion does not establish valid calibration.</w:t>
      </w:r>
    </w:p>
    <w:p>
      <w:pPr>
        <w:pStyle w:val="Heading1"/>
      </w:pPr>
      <w:r>
        <w:t>6. Records and handoff</w:t>
      </w:r>
    </w:p>
    <w:p>
      <w:r>
        <w:t>- Maintenance history</w:t>
      </w:r>
    </w:p>
    <w:p>
      <w:r>
        <w:t>- Work evidence</w:t>
      </w:r>
    </w:p>
    <w:p>
      <w:r>
        <w:t>- Functional check</w:t>
      </w:r>
    </w:p>
    <w:p>
      <w:r>
        <w:t>- Return-to-use decision</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src/modules/assets/maintenance/domain/maintenance.ts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DEC-002 — Leak-test equipment manual and safety</w:t>
      </w:r>
    </w:p>
    <w:p>
      <w:r>
        <w:t>- DEC-020 — Retention, file safety and record storage</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/assets</w:t>
      </w:r>
    </w:p>
    <w:p>
      <w:r>
        <w:t>- /assets/equipment</w:t>
      </w:r>
    </w:p>
    <w:p>
      <w:r>
        <w:t>- /assets/equipment/new</w:t>
      </w:r>
    </w:p>
    <w:p>
      <w:r>
        <w:t>- /assets/equipment/[equipmentId]</w:t>
      </w:r>
    </w:p>
    <w:p>
      <w:r>
        <w:t>- /assets/maintenance</w:t>
      </w:r>
    </w:p>
    <w:p>
      <w:r>
        <w:t>- /assets/maintenance/new</w:t>
      </w:r>
    </w:p>
    <w:p>
      <w:r>
        <w:t>- /assets/maintenance/[maintenanceId]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DEC-002 — Equipment readiness and safe operation</w:t>
      </w:r>
    </w:p>
    <w:p>
      <w:r>
        <w:t>At the instrument, read the nameplate and record asset ID, manufacturer/model, serial, controller/software version, pressure sensor ranges, fixture identity, regulator and reference device. Match the calibration certificate to that serial and range. Attach the actual operator manual and identify its sections for connection, pressurization, isolation, emergency stop and safe venting. Record pre-use checks with a known reference and fixture/background leak check under that manual.</w:t>
      </w:r>
    </w:p>
    <w:p>
      <w:r>
        <w:t>Decision and exception check: Stop for an unreadable label, expired or mismatched calibration, damaged connection, failed reference check or an uncontrolled program. Make the system safe using the instrument procedure; retain the failed run and identify all affected work since the last acceptable check. A maintenance completion requires a documented return-to-use check.</w:t>
      </w:r>
    </w:p>
    <w:p>
      <w:r>
        <w:t>Record: QC-REC-002 equipment readiness and run setup; equipment/calibration/maintenance records.</w:t>
      </w:r>
    </w:p>
    <w:p>
      <w:r>
        <w:t>DEC-020 — Retention and controlled storage</w:t>
      </w:r>
    </w:p>
    <w:p>
      <w:r>
        <w:t>For each class, QMS and the record owner set the legal/contractual basis, retention trigger, approved period, archive location, access roles, retrieval target and disposal authority. A legal hold suspends disposal. On receipt, verify type, readability, complete pages and malware-scan outcome under approved tooling; isolate suspicious files. A content hash checks integrity, not safety or approval.</w:t>
      </w:r>
    </w:p>
    <w:p>
      <w:r>
        <w:t>Decision and exception check: Perform a retrieval check by locating a selected record, opening all attachments and confirming identity/hash and related signatures. Disposal requires hold review, eligibility evidence, authorized approval and a destruction log. If no retention period is approved, retain the record pending disposition rather than inventing an expiry.</w:t>
      </w:r>
    </w:p>
    <w:p>
      <w:r>
        <w:t>Record: QC-REC-013 retention, retrieval and disposition schedule; QC-SOP-010/024.</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