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QC-WI-039 — Prepare a human training and competency assessment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Record actual demonstrated competence for a procedure and equipment scope.</w:t>
      </w:r>
    </w:p>
    <w:p>
      <w:r>
        <w:t>Implementation: PROPOSED MANUAL PROCEDURE</w:t>
      </w:r>
    </w:p>
    <w:p>
      <w:pPr>
        <w:pStyle w:val="Heading1"/>
      </w:pPr>
      <w:r>
        <w:t>2. Responsibilities and review</w:t>
      </w:r>
    </w:p>
    <w:p>
      <w:r>
        <w:t>Responsible specialists: Trainer; Technical assessor</w:t>
      </w:r>
    </w:p>
    <w:p>
      <w:r>
        <w:t>Review: Trainer; Technical assessor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QC-SOP-002</w:t>
      </w:r>
    </w:p>
    <w:p>
      <w:pPr>
        <w:pStyle w:val="Heading1"/>
      </w:pPr>
      <w:r>
        <w:t>3. Before you start</w:t>
      </w:r>
    </w:p>
    <w:p>
      <w:r>
        <w:t>- Effective procedure and approved task scope exist.</w:t>
      </w:r>
    </w:p>
    <w:p>
      <w:r>
        <w:t>- An approved practical assessment is available.</w:t>
      </w:r>
    </w:p>
    <w:p>
      <w:pPr>
        <w:pStyle w:val="Heading1"/>
      </w:pPr>
      <w:r>
        <w:t>4. Work steps and checks</w:t>
      </w:r>
    </w:p>
    <w:p>
      <w:r>
        <w:t>1. Identify the person, task, procedure revision and equipment/method scope.</w:t>
      </w:r>
    </w:p>
    <w:p>
      <w:r>
        <w:t>2. Explain the method, stop conditions and record requirements.</w:t>
      </w:r>
    </w:p>
    <w:p>
      <w:r>
        <w:t>3. Demonstrate the task using authorized training material.</w:t>
      </w:r>
    </w:p>
    <w:p>
      <w:r>
        <w:t>4. Observe the trainee perform it and handle a relevant error.</w:t>
      </w:r>
    </w:p>
    <w:p>
      <w:r>
        <w:t>5. Record what was actually observed and any limitations.</w:t>
      </w:r>
    </w:p>
    <w:p>
      <w:r>
        <w:t>6. The technical assessor decides competence under approved criteria.</w:t>
      </w:r>
    </w:p>
    <w:p>
      <w:r>
        <w:t>7. Record actual authorization and required supervision.</w:t>
      </w:r>
    </w:p>
    <w:p>
      <w:r>
        <w:t>8. Schedule reassessment only under the approved policy and update the training matrix.</w:t>
      </w:r>
    </w:p>
    <w:p>
      <w:pPr>
        <w:pStyle w:val="Heading1"/>
      </w:pPr>
      <w:r>
        <w:t>5. Decisions, errors and stop conditions</w:t>
      </w:r>
    </w:p>
    <w:p>
      <w:r>
        <w:t>- Attendance alone does not demonstrate competence.</w:t>
      </w:r>
    </w:p>
    <w:p>
      <w:r>
        <w:t>- This source has no dedicated digital training module.</w:t>
      </w:r>
    </w:p>
    <w:p>
      <w:pPr>
        <w:pStyle w:val="Heading1"/>
      </w:pPr>
      <w:r>
        <w:t>6. Records and handoff</w:t>
      </w:r>
    </w:p>
    <w:p>
      <w:r>
        <w:t>- Training matrix</w:t>
      </w:r>
    </w:p>
    <w:p>
      <w:r>
        <w:t>- Observed assessment</w:t>
      </w:r>
    </w:p>
    <w:p>
      <w:r>
        <w:t>- Task authorization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Documents/ROLE-MATRIX.md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DEC-019 — Training, sample custody and movement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DEC-019 — Training, custody and movement</w:t>
      </w:r>
    </w:p>
    <w:p>
      <w:r>
        <w:t>The assessor observes identity checks, correct source selection, a normal task, a deliberate exception, raw-data recording and safe handoff. Record each result and restriction. Reassess following a significant method/equipment change, an observed competence failure or the approved review schedule. Training attendance alone is insufficient.</w:t>
      </w:r>
    </w:p>
    <w:p>
      <w:r>
        <w:t>Decision and exception check: For custody, record sample ID, parent lot, selection time, selector, quantity, condition, container/seal and every transfer with both parties and time. For movement, reconcile opening quantity, received/transferred, tested/destroyed, reworked, scrapped and closing balance in one unit. Discrepancies stop handoff until explained; maintain quarantine identity through transport.</w:t>
      </w:r>
    </w:p>
    <w:p>
      <w:r>
        <w:t>Record: QC-REC-003, QC-REC-010 movement, QC-REC-012 competency; QC-SOP-002/007/016.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