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QC-WI-041 — Respond to instrument failure during a test</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Preserve incomplete data and assess affected work before retesting.</w:t>
      </w:r>
    </w:p>
    <w:p>
      <w:r>
        <w:t>Implementation: SOURCE-ALIGNED DRAFT</w:t>
      </w:r>
    </w:p>
    <w:p>
      <w:pPr>
        <w:pStyle w:val="Heading1"/>
      </w:pPr>
      <w:r>
        <w:t>2. Responsibilities and review</w:t>
      </w:r>
    </w:p>
    <w:p>
      <w:r>
        <w:t>Responsible specialists: Laboratory; Equipment owner; Technical method owner</w:t>
      </w:r>
    </w:p>
    <w:p>
      <w:r>
        <w:t>Review: Laboratory; Equipment owner; Technical method owner</w:t>
      </w:r>
    </w:p>
    <w:p>
      <w:r>
        <w:t>Approval: Authorized QMS / Document Control approver under the approved document policy; not yet established for this draft</w:t>
      </w:r>
    </w:p>
    <w:p>
      <w:r>
        <w:t>Parent procedure: QC-SOP-012</w:t>
      </w:r>
    </w:p>
    <w:p>
      <w:pPr>
        <w:pStyle w:val="Heading1"/>
      </w:pPr>
      <w:r>
        <w:t>3. Before you start</w:t>
      </w:r>
    </w:p>
    <w:p>
      <w:r>
        <w:t>- The run/sample context is identifiable.</w:t>
      </w:r>
    </w:p>
    <w:p>
      <w:r>
        <w:t>- The equipment can be safely stopped under its manual.</w:t>
      </w:r>
    </w:p>
    <w:p>
      <w:pPr>
        <w:pStyle w:val="Heading1"/>
      </w:pPr>
      <w:r>
        <w:t>4. Work steps and checks</w:t>
      </w:r>
    </w:p>
    <w:p>
      <w:r>
        <w:t>1. Stop the run using the approved instrument safe-stop procedure.</w:t>
      </w:r>
    </w:p>
    <w:p>
      <w:r>
        <w:t>2. Identify the equipment, program, sample and failure time.</w:t>
      </w:r>
    </w:p>
    <w:p>
      <w:r>
        <w:t>3. Retain raw readings, error messages, printouts and partial files.</w:t>
      </w:r>
    </w:p>
    <w:p>
      <w:r>
        <w:t>4. Separate affected samples and material; record uncertainty rather than PASS.</w:t>
      </w:r>
    </w:p>
    <w:p>
      <w:r>
        <w:t>5. Open maintenance and assess equipment eligibility.</w:t>
      </w:r>
    </w:p>
    <w:p>
      <w:r>
        <w:t>6. The technical owner reviews whether earlier runs may be affected.</w:t>
      </w:r>
    </w:p>
    <w:p>
      <w:r>
        <w:t>7. Obtain an approved invalid-run/retest decision and preserve the parent evidence.</w:t>
      </w:r>
    </w:p>
    <w:p>
      <w:r>
        <w:t>8. Resume testing only after return-to-use and method prerequisites are demonstrated.</w:t>
      </w:r>
    </w:p>
    <w:p>
      <w:pPr>
        <w:pStyle w:val="Heading1"/>
      </w:pPr>
      <w:r>
        <w:t>5. Decisions, errors and stop conditions</w:t>
      </w:r>
    </w:p>
    <w:p>
      <w:r>
        <w:t>- No device manual: seek equipment specialist; this draft gives no unsafe mechanical instructions.</w:t>
      </w:r>
    </w:p>
    <w:p>
      <w:r>
        <w:t>- Repair does not validate earlier readings.</w:t>
      </w:r>
    </w:p>
    <w:p>
      <w:pPr>
        <w:pStyle w:val="Heading1"/>
      </w:pPr>
      <w:r>
        <w:t>6. Records and handoff</w:t>
      </w:r>
    </w:p>
    <w:p>
      <w:r>
        <w:t>- Failure evidence</w:t>
      </w:r>
    </w:p>
    <w:p>
      <w:r>
        <w:t>- Affected work</w:t>
      </w:r>
    </w:p>
    <w:p>
      <w:r>
        <w:t>- Maintenance</w:t>
      </w:r>
    </w:p>
    <w:p>
      <w:r>
        <w:t>- Retest/return-to-use decision</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src/modules/assets/equipment/infrastructure/eligibility-reader.ts</w:t>
      </w:r>
    </w:p>
    <w:p>
      <w:r>
        <w:t>- src/modules/laboratory/application/create-retest.ts</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DEC-026 — Retest, invalid work and lab rejection</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/assets/maintenance</w:t>
      </w:r>
    </w:p>
    <w:p>
      <w:r>
        <w:t>- /assets/maintenance/new</w:t>
      </w:r>
    </w:p>
    <w:p>
      <w:r>
        <w:t>- /assets/maintenance/[maintenanceId]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DEC-026 — Invalid test, retest and rejection</w:t>
      </w:r>
    </w:p>
    <w:p>
      <w:r>
        <w:t>Contain affected material, identify all runs since the last valid control and record the reason for invalidation or retest. The method owner approves sample selection, repeat count, conditions and the rule for combining or separately reporting results before retesting. Link the new run to the original and preserve the operator, time, equipment and source revisions.</w:t>
      </w:r>
    </w:p>
    <w:p>
      <w:r>
        <w:t>Decision and exception check: A confirmed product failure proceeds to the authorized nonconformance/disposition process. A passing retest does not erase a failing result. Ambiguous results remain HOLD/further evaluation until reviewed. The current digital lab reject path remains policy-blocked where PD-38 authority is not established; no alternate route is proposed.</w:t>
      </w:r>
    </w:p>
    <w:p>
      <w:r>
        <w:t>Record: QC-REC-019 invalidation and retest authorization; QC-SOP-012; QC-WI-020/042.</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