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QC-WI-042 — Investigate a failed review or contradictory result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Resolve a review failure without editing the record to hide the concern.</w:t>
      </w:r>
    </w:p>
    <w:p>
      <w:r>
        <w:t>Implementation: SOURCE-ALIGNED DRAFT</w:t>
      </w:r>
    </w:p>
    <w:p>
      <w:pPr>
        <w:pStyle w:val="Heading1"/>
      </w:pPr>
      <w:r>
        <w:t>2. Responsibilities and review</w:t>
      </w:r>
    </w:p>
    <w:p>
      <w:r>
        <w:t>Responsible specialists: Supervisor; Technical owner; Author</w:t>
      </w:r>
    </w:p>
    <w:p>
      <w:r>
        <w:t>Review: Supervisor; Technical owner; Author</w:t>
      </w:r>
    </w:p>
    <w:p>
      <w:r>
        <w:t>Approval: Authorized QMS / Document Control approver under the approved document policy; not yet established for this draft</w:t>
      </w:r>
    </w:p>
    <w:p>
      <w:r>
        <w:t>Parent procedure: QC-SOP-012</w:t>
      </w:r>
    </w:p>
    <w:p>
      <w:pPr>
        <w:pStyle w:val="Heading1"/>
      </w:pPr>
      <w:r>
        <w:t>3. Before you start</w:t>
      </w:r>
    </w:p>
    <w:p>
      <w:r>
        <w:t>- The review reason and raw evidence are available.</w:t>
      </w:r>
    </w:p>
    <w:p>
      <w:r>
        <w:t>- The record state and actor actions are known.</w:t>
      </w:r>
    </w:p>
    <w:p>
      <w:pPr>
        <w:pStyle w:val="Heading1"/>
      </w:pPr>
      <w:r>
        <w:t>4. Work steps and checks</w:t>
      </w:r>
    </w:p>
    <w:p>
      <w:r>
        <w:t>1. Read the specific review concern and identify affected points/samples.</w:t>
      </w:r>
    </w:p>
    <w:p>
      <w:r>
        <w:t>2. Compare source revision, units, raw data, equipment and calculations.</w:t>
      </w:r>
    </w:p>
    <w:p>
      <w:r>
        <w:t>3. Contain affected material if the official outcome is uncertain.</w:t>
      </w:r>
    </w:p>
    <w:p>
      <w:r>
        <w:t>4. For incomplete work, the authorized reviewer returns it with a specific reason.</w:t>
      </w:r>
    </w:p>
    <w:p>
      <w:r>
        <w:t>5. The author resumes and corrects eligible draft work while preserving original evidence.</w:t>
      </w:r>
    </w:p>
    <w:p>
      <w:r>
        <w:t>6. For scientific disagreement, obtain a documented technical interpretation or retest authorization.</w:t>
      </w:r>
    </w:p>
    <w:p>
      <w:r>
        <w:t>7. For a rejected lab decision lacking approved PD-38 policy, retain POLICY_SOURCE_REQUIRED; do not create an alternate reject action.</w:t>
      </w:r>
    </w:p>
    <w:p>
      <w:r>
        <w:t>8. Resubmit only the reconciled version and repeat the required review stages.</w:t>
      </w:r>
    </w:p>
    <w:p>
      <w:pPr>
        <w:pStyle w:val="Heading1"/>
      </w:pPr>
      <w:r>
        <w:t>5. Decisions, errors and stop conditions</w:t>
      </w:r>
    </w:p>
    <w:p>
      <w:r>
        <w:t>- Do not infer acceptance from a majority of passing rows.</w:t>
      </w:r>
    </w:p>
    <w:p>
      <w:r>
        <w:t>- An unresolved scientific source remains a blocker.</w:t>
      </w:r>
    </w:p>
    <w:p>
      <w:pPr>
        <w:pStyle w:val="Heading1"/>
      </w:pPr>
      <w:r>
        <w:t>6. Records and handoff</w:t>
      </w:r>
    </w:p>
    <w:p>
      <w:r>
        <w:t>- Review reason</w:t>
      </w:r>
    </w:p>
    <w:p>
      <w:r>
        <w:t>- Technical investigation</w:t>
      </w:r>
    </w:p>
    <w:p>
      <w:r>
        <w:t>- Correction/retest</w:t>
      </w:r>
    </w:p>
    <w:p>
      <w:r>
        <w:t>- New review</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src/modules/laboratory/application/reject-lab-test.ts</w:t>
      </w:r>
    </w:p>
    <w:p>
      <w:r>
        <w:t>- Documents/DECISION-ASSUMPTION-REGISTER-026.md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