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QC-WI-043 — Generate and reconcile a report export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Verify the exported data against the scoped screen dataset.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Authorized report reader; Report owner</w:t>
      </w:r>
    </w:p>
    <w:p>
      <w:r>
        <w:t>Review: Authorized report reader; Report owner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QC-SOP-025</w:t>
      </w:r>
    </w:p>
    <w:p>
      <w:pPr>
        <w:pStyle w:val="Heading1"/>
      </w:pPr>
      <w:r>
        <w:t>3. Before you start</w:t>
      </w:r>
    </w:p>
    <w:p>
      <w:r>
        <w:t>- PERM-RPT-VIEW and source scope apply.</w:t>
      </w:r>
    </w:p>
    <w:p>
      <w:r>
        <w:t>- Filters, period, units and metric meaning are defined.</w:t>
      </w:r>
    </w:p>
    <w:p>
      <w:pPr>
        <w:pStyle w:val="Heading1"/>
      </w:pPr>
      <w:r>
        <w:t>4. Work steps and checks</w:t>
      </w:r>
    </w:p>
    <w:p>
      <w:r>
        <w:t>1. Open the report and record selected filters and source status.</w:t>
      </w:r>
    </w:p>
    <w:p>
      <w:r>
        <w:t>2. Check scope, exact totals and unit grouping.</w:t>
      </w:r>
    </w:p>
    <w:p>
      <w:r>
        <w:t>3. Identify the report provenance/dataset context before export.</w:t>
      </w:r>
    </w:p>
    <w:p>
      <w:r>
        <w:t>4. Generate the supported export without changing filters.</w:t>
      </w:r>
    </w:p>
    <w:p>
      <w:r>
        <w:t>5. If REPORT_DATASET_CHANGED appears, refresh and review a new coherent snapshot.</w:t>
      </w:r>
    </w:p>
    <w:p>
      <w:r>
        <w:t>6. Compare exported rows, totals, units and provenance with the screen.</w:t>
      </w:r>
    </w:p>
    <w:p>
      <w:r>
        <w:t>7. Retain the output in its approved location and mark unapproved prints clearly.</w:t>
      </w:r>
    </w:p>
    <w:p>
      <w:r>
        <w:t>8. Record distribution only after the approved owner accepts the report meaning and evidence.</w:t>
      </w:r>
    </w:p>
    <w:p>
      <w:pPr>
        <w:pStyle w:val="Heading1"/>
      </w:pPr>
      <w:r>
        <w:t>5. Decisions, errors and stop conditions</w:t>
      </w:r>
    </w:p>
    <w:p>
      <w:r>
        <w:t>- Unavailable source is not zero.</w:t>
      </w:r>
    </w:p>
    <w:p>
      <w:r>
        <w:t>- Request-local digest is not durable snapshot retention.</w:t>
      </w:r>
    </w:p>
    <w:p>
      <w:pPr>
        <w:pStyle w:val="Heading1"/>
      </w:pPr>
      <w:r>
        <w:t>6. Records and handoff</w:t>
      </w:r>
    </w:p>
    <w:p>
      <w:r>
        <w:t>- Filter/provenance context</w:t>
      </w:r>
    </w:p>
    <w:p>
      <w:r>
        <w:t>- Export</w:t>
      </w:r>
    </w:p>
    <w:p>
      <w:r>
        <w:t>- Parity check</w:t>
      </w:r>
    </w:p>
    <w:p>
      <w:r>
        <w:t>- Distribution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src/modules/reporting</w:t>
      </w:r>
    </w:p>
    <w:p>
      <w:r>
        <w:t>- Documents/REJECT-REPORTS.md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DEC-017 — Rejection approval mapping and metrics</w:t>
      </w:r>
    </w:p>
    <w:p>
      <w:r>
        <w:t>- DEC-020 — Retention, file safety and record storage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/reports</w:t>
      </w:r>
    </w:p>
    <w:p>
      <w:r>
        <w:t>- /reports/[reportCode]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DEC-017 — Rejection, physical disposition and metrics</w:t>
      </w:r>
    </w:p>
    <w:p>
      <w:r>
        <w:t>For production-origin stock, route to the actual required Production, QC and Director authorities. For warehouse-origin stock, the supplied record explicitly notes that Production signature is not required; record the documented exception and its scope for that record. Do not map Production Manager to the application SUPERVISOR merely because both appear first in an approval chain.</w:t>
      </w:r>
    </w:p>
    <w:p>
      <w:r>
        <w:t>Decision and exception check: QC entry records facts and prepares the report; actual approval confirmations are recorded only by an authorized confirming actor with source evidence. Rework or transfer needs a separate completed movement record and quantity reconciliation. Report the implemented reject/good ×100 metric under that explicit label; zero good denominator is undefined, not zero rejection. Any change to reject/total requires an approved definition and code change.</w:t>
      </w:r>
    </w:p>
    <w:p>
      <w:r>
        <w:t>Record: QC-WI-022/023/024/025; FORM-015; IMG-066; QC-REC-008/010.</w:t>
      </w:r>
    </w:p>
    <w:p>
      <w:r>
        <w:t>DEC-020 — Retention and controlled storage</w:t>
      </w:r>
    </w:p>
    <w:p>
      <w:r>
        <w:t>For each class, QMS and the record owner set the legal/contractual basis, retention trigger, approved period, archive location, access roles, retrieval target and disposal authority. A legal hold suspends disposal. On receipt, verify type, readability, complete pages and malware-scan outcome under approved tooling; isolate suspicious files. A content hash checks integrity, not safety or approval.</w:t>
      </w:r>
    </w:p>
    <w:p>
      <w:r>
        <w:t>Decision and exception check: Perform a retrieval check by locating a selected record, opening all attachments and confirming identity/hash and related signatures. Disposal requires hold review, eligibility evidence, authorized approval and a destruction log. If no retention period is approved, retain the record pending disposition rather than inventing an expiry.</w:t>
      </w:r>
    </w:p>
    <w:p>
      <w:r>
        <w:t>Record: QC-REC-013 retention, retrieval and disposition schedule; QC-SOP-010/024.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