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QC-WI-046 — Register a support incident and inspect owner health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Preserve sanitized evidence and inspect the actual service boundary.</w:t>
      </w:r>
    </w:p>
    <w:p>
      <w:r>
        <w:t>Implementation: SOURCE-ALIGNED DRAFT</w:t>
      </w:r>
    </w:p>
    <w:p>
      <w:pPr>
        <w:pStyle w:val="Heading1"/>
      </w:pPr>
      <w:r>
        <w:t>2. Responsibilities and review</w:t>
      </w:r>
    </w:p>
    <w:p>
      <w:r>
        <w:t>Responsible specialists: Operator; Authorized support; Named yazeed</w:t>
      </w:r>
    </w:p>
    <w:p>
      <w:r>
        <w:t>Review: Operator; Authorized support; Named yazeed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QC-SOP-028</w:t>
      </w:r>
    </w:p>
    <w:p>
      <w:pPr>
        <w:pStyle w:val="Heading1"/>
      </w:pPr>
      <w:r>
        <w:t>3. Before you start</w:t>
      </w:r>
    </w:p>
    <w:p>
      <w:r>
        <w:t>- The issue and affected record/time are known.</w:t>
      </w:r>
    </w:p>
    <w:p>
      <w:r>
        <w:t>- Owner health access is restricted to active named yazeed with required capabilities.</w:t>
      </w:r>
    </w:p>
    <w:p>
      <w:pPr>
        <w:pStyle w:val="Heading1"/>
      </w:pPr>
      <w:r>
        <w:t>4. Work steps and checks</w:t>
      </w:r>
    </w:p>
    <w:p>
      <w:r>
        <w:t>1. Record symptom, operation, record/version and safe correlation identifier.</w:t>
      </w:r>
    </w:p>
    <w:p>
      <w:r>
        <w:t>2. Keep secrets and unnecessary personal evidence out of the incident.</w:t>
      </w:r>
    </w:p>
    <w:p>
      <w:r>
        <w:t>3. Contain affected material/work if the result or source is uncertain.</w:t>
      </w:r>
    </w:p>
    <w:p>
      <w:r>
        <w:t>4. Classify authentication, authorization, version, policy, storage and provider failures.</w:t>
      </w:r>
    </w:p>
    <w:p>
      <w:r>
        <w:t>5. The named owner inspects /system/health or /system/control-center through permitted read capabilities.</w:t>
      </w:r>
    </w:p>
    <w:p>
      <w:r>
        <w:t>6. Correlate record, audit and outbox evidence without treating queue state as provider receipt.</w:t>
      </w:r>
    </w:p>
    <w:p>
      <w:r>
        <w:t>7. Arrange remediation under explicit change authority.</w:t>
      </w:r>
    </w:p>
    <w:p>
      <w:r>
        <w:t>8. Verify recovery on affected operations and record remaining limitations.</w:t>
      </w:r>
    </w:p>
    <w:p>
      <w:pPr>
        <w:pStyle w:val="Heading1"/>
      </w:pPr>
      <w:r>
        <w:t>5. Decisions, errors and stop conditions</w:t>
      </w:r>
    </w:p>
    <w:p>
      <w:r>
        <w:t>- No production patch, deploy or permission expansion is authorized by this WI.</w:t>
      </w:r>
    </w:p>
    <w:p>
      <w:r>
        <w:t>- No-op telemetry or health status is not an operator alert receipt.</w:t>
      </w:r>
    </w:p>
    <w:p>
      <w:pPr>
        <w:pStyle w:val="Heading1"/>
      </w:pPr>
      <w:r>
        <w:t>6. Records and handoff</w:t>
      </w:r>
    </w:p>
    <w:p>
      <w:r>
        <w:t>- Incident</w:t>
      </w:r>
    </w:p>
    <w:p>
      <w:r>
        <w:t>- Sanitized health/correlation evidence</w:t>
      </w:r>
    </w:p>
    <w:p>
      <w:r>
        <w:t>- Impact</w:t>
      </w:r>
    </w:p>
    <w:p>
      <w:r>
        <w:t>- Recovery check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src/modules/system-health</w:t>
      </w:r>
    </w:p>
    <w:p>
      <w:r>
        <w:t>- Documents/INCIDENT-PROBLEM-RUNBOOK.md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DEC-022 — Worker, telemetry and alerts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/system/health</w:t>
      </w:r>
    </w:p>
    <w:p>
      <w:r>
        <w:t>- /system/control-center</w:t>
      </w:r>
    </w:p>
    <w:p>
      <w:r>
        <w:t>- /help</w:t>
      </w:r>
    </w:p>
    <w:p>
      <w:r>
        <w:t>- /404</w:t>
      </w:r>
    </w:p>
    <w:p>
      <w:r>
        <w:t>- /500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DEC-022 — Outbox worker and operator alert protocol</w:t>
      </w:r>
    </w:p>
    <w:p>
      <w:r>
        <w:t>Define the deployed worker, queue, claim/lease, retry/backoff, terminal-failure handling, scheduler and heartbeat. Record exporter destination, redaction and authorized alert receivers. Derive alert thresholds from approved service objectives and measured queue behavior. Under separate test authorization, enqueue a non-sensitive test event, track claim and attempt, obtain provider receipt and receiver acknowledgment, then prove deduplication/retry behavior.</w:t>
      </w:r>
    </w:p>
    <w:p>
      <w:r>
        <w:t>Decision and exception check: A missing heartbeat, growing oldest-event age or terminal failure creates an incident under the approved threshold. A zero queue or no-op exporter is not proof of delivery. Retain raw timestamps and provider IDs; operator acknowledgment records who acted and when. No live message is sent by this document package.</w:t>
      </w:r>
    </w:p>
    <w:p>
      <w:r>
        <w:t>Record: QC-REC-015 worker, telemetry and alert exercise; QC-WI-064.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