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QC-WI-047 — Create and verify a PLANNED restore intent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Persist a restore request without claiming execution.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Explicitly authorized drill actor; Named owner</w:t>
      </w:r>
    </w:p>
    <w:p>
      <w:r>
        <w:t>Review: Explicitly authorized drill actor;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QC-SOP-029</w:t>
      </w:r>
    </w:p>
    <w:p>
      <w:pPr>
        <w:pStyle w:val="Heading1"/>
      </w:pPr>
      <w:r>
        <w:t>3. Before you start</w:t>
      </w:r>
    </w:p>
    <w:p>
      <w:r>
        <w:t>- Explicit drill permission and GLOBAL scope apply.</w:t>
      </w:r>
    </w:p>
    <w:p>
      <w:r>
        <w:t>- The backup is eligible and current snapshot/version are loaded.</w:t>
      </w:r>
    </w:p>
    <w:p>
      <w:r>
        <w:t>- A meaningful reason and isolated intent target exist.</w:t>
      </w:r>
    </w:p>
    <w:p>
      <w:pPr>
        <w:pStyle w:val="Heading1"/>
      </w:pPr>
      <w:r>
        <w:t>4. Work steps and checks</w:t>
      </w:r>
    </w:p>
    <w:p>
      <w:r>
        <w:t>1. Open /system/backups and inspect the selected backup evidence.</w:t>
      </w:r>
    </w:p>
    <w:p>
      <w:r>
        <w:t>2. Read its eligibility, version and restrictions.</w:t>
      </w:r>
    </w:p>
    <w:p>
      <w:r>
        <w:t>3. Open the supported restore-intent form and enter the reason.</w:t>
      </w:r>
    </w:p>
    <w:p>
      <w:r>
        <w:t>4. Keep the per-form eligibility digest and stable idempotency key unchanged for the same request.</w:t>
      </w:r>
    </w:p>
    <w:p>
      <w:r>
        <w:t>5. Submit once with the opened backup context.</w:t>
      </w:r>
    </w:p>
    <w:p>
      <w:r>
        <w:t>6. If uncertain, resolve the saved intent/replay before another request.</w:t>
      </w:r>
    </w:p>
    <w:p>
      <w:r>
        <w:t>7. Reload the intent and verify PLANNED, reason and audit/outbox relationship.</w:t>
      </w:r>
    </w:p>
    <w:p>
      <w:r>
        <w:t>8. Hand execution to an explicitly authorized recovery operator; this system currently provides no restore executor.</w:t>
      </w:r>
    </w:p>
    <w:p>
      <w:pPr>
        <w:pStyle w:val="Heading1"/>
      </w:pPr>
      <w:r>
        <w:t>5. Decisions, errors and stop conditions</w:t>
      </w:r>
    </w:p>
    <w:p>
      <w:r>
        <w:t>- Stale eligibility or denied scope: stop.</w:t>
      </w:r>
    </w:p>
    <w:p>
      <w:r>
        <w:t>- PLANNED does not mean RESTORED, and no production restore is authorized.</w:t>
      </w:r>
    </w:p>
    <w:p>
      <w:pPr>
        <w:pStyle w:val="Heading1"/>
      </w:pPr>
      <w:r>
        <w:t>6. Records and handoff</w:t>
      </w:r>
    </w:p>
    <w:p>
      <w:r>
        <w:t>- Backup snapshot</w:t>
      </w:r>
    </w:p>
    <w:p>
      <w:r>
        <w:t>- Stable request identity</w:t>
      </w:r>
    </w:p>
    <w:p>
      <w:r>
        <w:t>- PLANNED intent</w:t>
      </w:r>
    </w:p>
    <w:p>
      <w:r>
        <w:t>- Recovery handoff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src/modules/backup-recovery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DEC-020 — Retention, file safety and record storage</w:t>
      </w:r>
    </w:p>
    <w:p>
      <w:r>
        <w:t>- DEC-021 — Recovery authority, provider and objectives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/system/backups</w:t>
      </w:r>
    </w:p>
    <w:p>
      <w:r>
        <w:t>- /system/backups/[backupId]</w:t>
      </w:r>
    </w:p>
    <w:p>
      <w:r>
        <w:t>- /system/backups/[backupId]/restore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r>
        <w:t>DEC-021 — Database and file recovery protocol</w:t>
      </w:r>
    </w:p>
    <w:p>
      <w:r>
        <w:t>For each exercise, obtain explicit isolated-target authorization and the provider runbook. Record source artifact/time, database and file manifest, checksums, target identity, restore start/end and service verification times. Restore only into the approved isolated destination, check relational integrity and attachment readability, and reconcile a representative cross-domain record set before sign-off.</w:t>
      </w:r>
    </w:p>
    <w:p>
      <w:r>
        <w:t>Decision and exception check: Measure achieved RPO as the difference between the incident/reference time and latest recoverable committed data; measure RTO from the defined interruption start to verified service recovery. Record the start/end definitions before the exercise. Compare with owner-approved objectives; no objective is inferred from a successful local copy. Production restore requires separate authority.</w:t>
      </w:r>
    </w:p>
    <w:p>
      <w:r>
        <w:t>Record: QC-REC-014 recovery exercise; QC-WI-047/048/065.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