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QC-WI-048 — Verify an isolated database-and-files recovery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Demonstrate actual retrieval and restoration in an approved isolated destination.</w:t>
      </w:r>
    </w:p>
    <w:p>
      <w:r>
        <w:t>Implementation: PROPOSED OPERATOR PROCEDURE — PROVIDER RUNBOOK REQUIRED</w:t>
      </w:r>
    </w:p>
    <w:p>
      <w:pPr>
        <w:pStyle w:val="Heading1"/>
      </w:pPr>
      <w:r>
        <w:t>2. Responsibilities and review</w:t>
      </w:r>
    </w:p>
    <w:p>
      <w:r>
        <w:t>Responsible specialists: Authorized recovery operator; Provider; Verification reviewer</w:t>
      </w:r>
    </w:p>
    <w:p>
      <w:r>
        <w:t>Review: Authorized recovery operator; Provider; Verification reviewer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QC-SOP-029</w:t>
      </w:r>
    </w:p>
    <w:p>
      <w:pPr>
        <w:pStyle w:val="Heading1"/>
      </w:pPr>
      <w:r>
        <w:t>3. Before you start</w:t>
      </w:r>
    </w:p>
    <w:p>
      <w:r>
        <w:t>- Durable provider artifacts and approved recovery procedure exist.</w:t>
      </w:r>
    </w:p>
    <w:p>
      <w:r>
        <w:t>- Destination is isolated and explicitly authorized.</w:t>
      </w:r>
    </w:p>
    <w:p>
      <w:r>
        <w:t>- RPO/RTO targets and measurements are defined.</w:t>
      </w:r>
    </w:p>
    <w:p>
      <w:pPr>
        <w:pStyle w:val="Heading1"/>
      </w:pPr>
      <w:r>
        <w:t>4. Work steps and checks</w:t>
      </w:r>
    </w:p>
    <w:p>
      <w:r>
        <w:t>1. Record source backup times, scope and database/file consistency evidence.</w:t>
      </w:r>
    </w:p>
    <w:p>
      <w:r>
        <w:t>2. Retrieve original artifacts and verify manifest and checksums.</w:t>
      </w:r>
    </w:p>
    <w:p>
      <w:r>
        <w:t>3. Create the isolated destination under approved access/configuration.</w:t>
      </w:r>
    </w:p>
    <w:p>
      <w:r>
        <w:t>4. Restore database and files using the exact provider/manual procedure; this draft is not an executable provider runbook.</w:t>
      </w:r>
    </w:p>
    <w:p>
      <w:r>
        <w:t>5. Verify applied schema ledger/checksums and record relationships.</w:t>
      </w:r>
    </w:p>
    <w:p>
      <w:r>
        <w:t>6. Retrieve representative raw files and compare their digests.</w:t>
      </w:r>
    </w:p>
    <w:p>
      <w:r>
        <w:t>7. Check signature/audit/provenance links and approved functional operations.</w:t>
      </w:r>
    </w:p>
    <w:p>
      <w:r>
        <w:t>8. Record actual recovery point and elapsed recovery time, compare with approved targets and retain reviewer/provider evidence.</w:t>
      </w:r>
    </w:p>
    <w:p>
      <w:pPr>
        <w:pStyle w:val="Heading1"/>
      </w:pPr>
      <w:r>
        <w:t>5. Decisions, errors and stop conditions</w:t>
      </w:r>
    </w:p>
    <w:p>
      <w:r>
        <w:t>- No artifacts, provider manual or target authority: no drill execution claim.</w:t>
      </w:r>
    </w:p>
    <w:p>
      <w:r>
        <w:t>- A database-only dump does not prove file recovery.</w:t>
      </w:r>
    </w:p>
    <w:p>
      <w:pPr>
        <w:pStyle w:val="Heading1"/>
      </w:pPr>
      <w:r>
        <w:t>6. Records and handoff</w:t>
      </w:r>
    </w:p>
    <w:p>
      <w:r>
        <w:t>- Artifact retrieval</w:t>
      </w:r>
    </w:p>
    <w:p>
      <w:r>
        <w:t>- Isolated restore log</w:t>
      </w:r>
    </w:p>
    <w:p>
      <w:r>
        <w:t>- DB/file verification</w:t>
      </w:r>
    </w:p>
    <w:p>
      <w:r>
        <w:t>- Measured RPO/RTO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Documents/BACKUP-RECOVERY-PLAN.md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DEC-020 — Retention, file safety and record storage</w:t>
      </w:r>
    </w:p>
    <w:p>
      <w:r>
        <w:t>- DEC-021 — Recovery authority, provider and objectives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/system/backups</w:t>
      </w:r>
    </w:p>
    <w:p>
      <w:r>
        <w:t>- /system/backups/[backupId]</w:t>
      </w:r>
    </w:p>
    <w:p>
      <w:r>
        <w:t>- /system/backups/[backupId]/restore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r>
        <w:t>DEC-021 — Database and file recovery protocol</w:t>
      </w:r>
    </w:p>
    <w:p>
      <w:r>
        <w:t>For each exercise, obtain explicit isolated-target authorization and the provider runbook. Record source artifact/time, database and file manifest, checksums, target identity, restore start/end and service verification times. Restore only into the approved isolated destination, check relational integrity and attachment readability, and reconcile a representative cross-domain record set before sign-off.</w:t>
      </w:r>
    </w:p>
    <w:p>
      <w:r>
        <w:t>Decision and exception check: Measure achieved RPO as the difference between the incident/reference time and latest recoverable committed data; measure RTO from the defined interruption start to verified service recovery. Record the start/end definitions before the exercise. Compare with owner-approved objectives; no objective is inferred from a successful local copy. Production restore requires separate authority.</w:t>
      </w:r>
    </w:p>
    <w:p>
      <w:r>
        <w:t>Record: QC-REC-014 recovery exercise; QC-WI-047/048/065.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