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QC-WI-052 — Oral medication syringes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oral medication syringes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Oral administration product specialist; QC/QMS</w:t>
      </w:r>
    </w:p>
    <w:p>
      <w:r>
        <w:t>Review: Oral administration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DEC-007,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oral-only intended use, connector type, capacity and drawing. ISO 20695:2020 expressly excludes oral syringes, so it is not automatically the applicable product standard.</w:t>
      </w:r>
    </w:p>
    <w:p>
      <w:r>
        <w:t>3. Compare the supplied company inspection form with the effective product drawing and resolve revision differences.</w:t>
      </w:r>
    </w:p>
    <w:p>
      <w:r>
        <w:t>4. Check barrel/plunger identity, graduation legibility, piston fit, nozzle, wings, flash/short shot and packaging against the approved drawing.</w:t>
      </w:r>
    </w:p>
    <w:p>
      <w:r>
        <w:t>5. Measure delivered-volume accuracy using the approved reference method, volumes and tolerances; retain balance/cylinder calibration and raw readings.</w:t>
      </w:r>
    </w:p>
    <w:p>
      <w:r>
        <w:t>6. Assess leakage, dead space, lubrication and other required performance points only under a separately approved oral-syringe method.</w:t>
      </w:r>
    </w:p>
    <w:p>
      <w:r>
        <w:t>7. A pH row or printed accuracy value on the photographed form requires its own approved method and applicability; do not adopt it automatically.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FORM-006</w:t>
      </w:r>
    </w:p>
    <w:p>
      <w:r>
        <w:t>- EXT-004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DEC-007 — Oral medication syringe method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DEC-007 — Oral medication syringe inspection</w:t>
      </w:r>
    </w:p>
    <w:p>
      <w:r>
        <w:t>Inspect packaging and identity first; then body/nozzle irregularities, barrel, scale, plunger, rubber fit, lubrication, liquid leakage, aspiration leakage and dead space. Record size, tip and marked units, especially tsp/ml/cc. The observed report is a re-evaluation with a small retained sample; record that context explicitly. Link any volume check to the cylinder identity and certificate and retain both reference and equipment readings.</w:t>
      </w:r>
    </w:p>
    <w:p>
      <w:r>
        <w:t>Decision and exception check: The form includes printed accuracy bands and a dead-space reference to specification. Record those as company form criteria awaiting method/application reconciliation; define test fill level, medium, meniscus/temperature correction and repeat plan from the actual WI. Do not adopt an enteral-system method automatically: ISO 20695 excludes oral syringes.</w:t>
      </w:r>
    </w:p>
    <w:p>
      <w:r>
        <w:t>Record: QC-WI-052; FORM-006; IMG-074/075; QC-REC-005 and QC-REC-007.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