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QC-WI-054 — Feeding tubes — inspection and test review proposal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Prepare an applicable inspection/test plan for feeding tubes and execute it only after technical approval.</w:t>
      </w:r>
    </w:p>
    <w:p>
      <w:r>
        <w:t>Implementation: SCIENTIFIC PROPOSAL — NOT AUTHORIZED FOR CONTROLLED ACCEPTANCE</w:t>
      </w:r>
    </w:p>
    <w:p>
      <w:pPr>
        <w:pStyle w:val="Heading1"/>
      </w:pPr>
      <w:r>
        <w:t>2. Responsibilities and review</w:t>
      </w:r>
    </w:p>
    <w:p>
      <w:r>
        <w:t>Responsible specialists: Enteral product specialist; QC/QMS</w:t>
      </w:r>
    </w:p>
    <w:p>
      <w:r>
        <w:t>Review: Enteral product specialist; QC/QMS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QC-SOP-008</w:t>
      </w:r>
    </w:p>
    <w:p>
      <w:pPr>
        <w:pStyle w:val="Heading1"/>
      </w:pPr>
      <w:r>
        <w:t>3. Before you start</w:t>
      </w:r>
    </w:p>
    <w:p>
      <w:r>
        <w:t>- DEC-009, DEC-001, DEC-003 and DEC-005 are resolved before controlled acceptance.</w:t>
      </w:r>
    </w:p>
    <w:p>
      <w:r>
        <w:t>- Effective product drawing, licensed applicable method and sample plan are present.</w:t>
      </w:r>
    </w:p>
    <w:p>
      <w:r>
        <w:t>- Qualified operator and suitable calibrated equipment are available.</w:t>
      </w:r>
    </w:p>
    <w:p>
      <w:pPr>
        <w:pStyle w:val="Heading1"/>
      </w:pPr>
      <w:r>
        <w:t>4. Work steps and checks</w:t>
      </w:r>
    </w:p>
    <w:p>
      <w:r>
        <w:t>1. Identify the product code, model, size, lot, supplier/manufacturing context and sterile/bulk status.</w:t>
      </w:r>
    </w:p>
    <w:p>
      <w:r>
        <w:t>2. Confirm intended enteral use, tube type, size and connector. ISO 20695:2020 is a product-system candidate; ISO 80369-3:2016 is a connector candidate after edition/amendment and applicability review.</w:t>
      </w:r>
    </w:p>
    <w:p>
      <w:r>
        <w:t>3. Compare the supplied company inspection form with the effective product drawing and resolve revision differences.</w:t>
      </w:r>
    </w:p>
    <w:p>
      <w:r>
        <w:t>4. Inspect packaging, tube/tip/side eyes, connector, markings, radiopaque feature and dimensions against the approved product specification.</w:t>
      </w:r>
    </w:p>
    <w:p>
      <w:r>
        <w:t>5. Propose lumen patency/flow, tube/connector integrity and required tensile or leakage checks under licensed applicable method clauses.</w:t>
      </w:r>
    </w:p>
    <w:p>
      <w:r>
        <w:t>6. Identify destructive tests and preserve the sample-to-result link; a tube visual check does not establish flow or joint strength.</w:t>
      </w:r>
    </w:p>
    <w:p>
      <w:r>
        <w:t>7. Verify marking, length and intended-use variant before deciding which points apply.</w:t>
      </w:r>
    </w:p>
    <w:p>
      <w:r>
        <w:t>8. Select and label samples using the approved plan. Record actual per-point sample count rather than inferring it from form layout.</w:t>
      </w:r>
    </w:p>
    <w:p>
      <w:r>
        <w:t>9. Record each observation and raw measurement with sample, unit, equipment, method revision and remarks. Keep printed/historical form values separate from approved criteria.</w:t>
      </w:r>
    </w:p>
    <w:p>
      <w:r>
        <w:t>10. Evaluate under approved point and overall decision rules; hold uncertain work and retain failures.</w:t>
      </w:r>
    </w:p>
    <w:p>
      <w:r>
        <w:t>11. Submit the exact record for Supervisor and QCM review; a reviewed test is not a receiving release.</w:t>
      </w:r>
    </w:p>
    <w:p>
      <w:pPr>
        <w:pStyle w:val="Heading1"/>
      </w:pPr>
      <w:r>
        <w:t>5. Decisions, errors and stop conditions</w:t>
      </w:r>
    </w:p>
    <w:p>
      <w:r>
        <w:t>- Missing drawing, intended-use mapping, method clause or limit: do not execute controlled acceptance.</w:t>
      </w:r>
    </w:p>
    <w:p>
      <w:r>
        <w:t>- A handwritten tick, N/A or Accepted mark is historical evidence, not authority for a new test.</w:t>
      </w:r>
    </w:p>
    <w:p>
      <w:r>
        <w:t>- Failed or invalid work: retain raw evidence and obtain containment/retest disposition.</w:t>
      </w:r>
    </w:p>
    <w:p>
      <w:pPr>
        <w:pStyle w:val="Heading1"/>
      </w:pPr>
      <w:r>
        <w:t>6. Records and handoff</w:t>
      </w:r>
    </w:p>
    <w:p>
      <w:r>
        <w:t>- Product applicability decision</w:t>
      </w:r>
    </w:p>
    <w:p>
      <w:r>
        <w:t>- Approved point/test plan</w:t>
      </w:r>
    </w:p>
    <w:p>
      <w:r>
        <w:t>- Sample log</w:t>
      </w:r>
    </w:p>
    <w:p>
      <w:r>
        <w:t>- Raw evidence</w:t>
      </w:r>
    </w:p>
    <w:p>
      <w:r>
        <w:t>- Reviewed inspection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FORM-008</w:t>
      </w:r>
    </w:p>
    <w:p>
      <w:r>
        <w:t>- EXT-004</w:t>
      </w:r>
    </w:p>
    <w:p>
      <w:r>
        <w:t>- EXT-010</w:t>
      </w:r>
    </w:p>
    <w:p>
      <w:r>
        <w:t>- QC-SOP-007</w:t>
      </w:r>
    </w:p>
    <w:p>
      <w:r>
        <w:t>- QC-SOP-008</w:t>
      </w:r>
    </w:p>
    <w:p>
      <w:r>
        <w:t>- QC-SOP-009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DEC-003 — Sampling plan</w:t>
      </w:r>
    </w:p>
    <w:p>
      <w:r>
        <w:t>- DEC-005 — Per-point and overall evaluation</w:t>
      </w:r>
    </w:p>
    <w:p>
      <w:r>
        <w:t>- DEC-009 — Feeding-tube variant and form identity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DEC-003 — Lot definition and sampling</w:t>
      </w:r>
    </w:p>
    <w:p>
      <w:r>
        <w:t>The QC planner selects the approved sampling procedure and records edition, lot quantity, normal/tightened/reduced status, inspection level, defect classes, AQL or alternative rationale, code letter, sample size and Ac/Re. Select across containers or production positions using the documented random/systematic method. Allocate destructive and non-destructive samples separately and prevent replacement of an unfavorable sample without an investigation.</w:t>
      </w:r>
    </w:p>
    <w:p>
      <w:r>
        <w:t>Decision and exception check: Compare total samples actually tested with the plan and reconcile extra runs, repeats and retained samples. The supplied feeding-tube record has a Sample Size entry and a different checked-quantity remark; reconcile that difference before using its plan as a precedent. A re-evaluation of a few retained items does not become acceptance of a new incoming lot.</w:t>
      </w:r>
    </w:p>
    <w:p>
      <w:r>
        <w:t>Record: QC-REC-003 sampling and custody plan; per-sample identifiers; original AQL/code/Ac/Re block.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r>
        <w:t>DEC-009 — Feeding tube and gastrostomy inspection</w:t>
      </w:r>
    </w:p>
    <w:p>
      <w:r>
        <w:t>Record Fr size, material (PVC/silicone as applicable), lot, color and tube variant. Check package, clarity, irregularities, length/ID/OD, radiopaque line, balloon, valve, port cap and retention ring in the printed sequence. Separate ballooned gastrostomy work from a non-balloon feeding tube; document NA applicability rather than copying the same checklist unchanged.</w:t>
      </w:r>
    </w:p>
    <w:p>
      <w:r>
        <w:t>Decision and exception check: Record actual dimensions in units with instrument identity. For retention/leak checks, obtain the specified inflation medium, volume, time and limits; do not infer these from a checked box. Resolve the photographed difference between Sample Size and the quantity checked in remarks. Keep the original report and the clarification linked.</w:t>
      </w:r>
    </w:p>
    <w:p>
      <w:r>
        <w:t>Record: QC-WI-054; FORM-008; IMG-079; QC-REC-003/005/007.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