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QC-WI-055 — Nelaton catheters — inspection and test review proposal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Prepare an applicable inspection/test plan for nelaton catheters and execute it only after technical approval.</w:t>
      </w:r>
    </w:p>
    <w:p>
      <w:r>
        <w:t>Implementation: SCIENTIFIC PROPOSAL — NOT AUTHORIZED FOR CONTROLLED ACCEPTANCE</w:t>
      </w:r>
    </w:p>
    <w:p>
      <w:pPr>
        <w:pStyle w:val="Heading1"/>
      </w:pPr>
      <w:r>
        <w:t>2. Responsibilities and review</w:t>
      </w:r>
    </w:p>
    <w:p>
      <w:r>
        <w:t>Responsible specialists: Urethral catheter product specialist; QC/QMS</w:t>
      </w:r>
    </w:p>
    <w:p>
      <w:r>
        <w:t>Review: Urethral catheter product specialist; QC/QMS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QC-SOP-008</w:t>
      </w:r>
    </w:p>
    <w:p>
      <w:pPr>
        <w:pStyle w:val="Heading1"/>
      </w:pPr>
      <w:r>
        <w:t>3. Before you start</w:t>
      </w:r>
    </w:p>
    <w:p>
      <w:r>
        <w:t>- DEC-010, DEC-001, DEC-003 and DEC-005 are resolved before controlled acceptance.</w:t>
      </w:r>
    </w:p>
    <w:p>
      <w:r>
        <w:t>- Effective product drawing, licensed applicable method and sample plan are present.</w:t>
      </w:r>
    </w:p>
    <w:p>
      <w:r>
        <w:t>- Qualified operator and suitable calibrated equipment are available.</w:t>
      </w:r>
    </w:p>
    <w:p>
      <w:pPr>
        <w:pStyle w:val="Heading1"/>
      </w:pPr>
      <w:r>
        <w:t>4. Work steps and checks</w:t>
      </w:r>
    </w:p>
    <w:p>
      <w:r>
        <w:t>1. Identify the product code, model, size, lot, supplier/manufacturing context and sterile/bulk status.</w:t>
      </w:r>
    </w:p>
    <w:p>
      <w:r>
        <w:t>2. Confirm that the product is a sterile single-use urethral catheter and identify whether it has a balloon. ISO 20696:2018 is a candidate; drainage catheters outside its scope need a different source.</w:t>
      </w:r>
    </w:p>
    <w:p>
      <w:r>
        <w:t>3. Compare the supplied company inspection form with the effective product drawing and resolve revision differences.</w:t>
      </w:r>
    </w:p>
    <w:p>
      <w:r>
        <w:t>4. Inspect catheter size, tube, tip, eyes, connector, finish, marking and packaging against the approved model drawing.</w:t>
      </w:r>
    </w:p>
    <w:p>
      <w:r>
        <w:t>5. Propose dimension, flow/patency, tensile/joint integrity and applicable leakage checks for technical review.</w:t>
      </w:r>
    </w:p>
    <w:p>
      <w:r>
        <w:t>6. Exclude balloon-only points only under a documented applicability rule for the actual non-balloon variant.</w:t>
      </w:r>
    </w:p>
    <w:p>
      <w:r>
        <w:t>7. Preserve the method’s actual fluid, fixture, conditioning and measurement evidence; this draft supplies no flow or force limit.</w:t>
      </w:r>
    </w:p>
    <w:p>
      <w:r>
        <w:t>8. Select and label samples using the approved plan. Record actual per-point sample count rather than inferring it from form layout.</w:t>
      </w:r>
    </w:p>
    <w:p>
      <w:r>
        <w:t>9. Record each observation and raw measurement with sample, unit, equipment, method revision and remarks. Keep printed/historical form values separate from approved criteria.</w:t>
      </w:r>
    </w:p>
    <w:p>
      <w:r>
        <w:t>10. Evaluate under approved point and overall decision rules; hold uncertain work and retain failures.</w:t>
      </w:r>
    </w:p>
    <w:p>
      <w:r>
        <w:t>11. Submit the exact record for Supervisor and QCM review; a reviewed test is not a receiving release.</w:t>
      </w:r>
    </w:p>
    <w:p>
      <w:pPr>
        <w:pStyle w:val="Heading1"/>
      </w:pPr>
      <w:r>
        <w:t>5. Decisions, errors and stop conditions</w:t>
      </w:r>
    </w:p>
    <w:p>
      <w:r>
        <w:t>- Missing drawing, intended-use mapping, method clause or limit: do not execute controlled acceptance.</w:t>
      </w:r>
    </w:p>
    <w:p>
      <w:r>
        <w:t>- A handwritten tick, N/A or Accepted mark is historical evidence, not authority for a new test.</w:t>
      </w:r>
    </w:p>
    <w:p>
      <w:r>
        <w:t>- Failed or invalid work: retain raw evidence and obtain containment/retest disposition.</w:t>
      </w:r>
    </w:p>
    <w:p>
      <w:pPr>
        <w:pStyle w:val="Heading1"/>
      </w:pPr>
      <w:r>
        <w:t>6. Records and handoff</w:t>
      </w:r>
    </w:p>
    <w:p>
      <w:r>
        <w:t>- Product applicability decision</w:t>
      </w:r>
    </w:p>
    <w:p>
      <w:r>
        <w:t>- Approved point/test plan</w:t>
      </w:r>
    </w:p>
    <w:p>
      <w:r>
        <w:t>- Sample log</w:t>
      </w:r>
    </w:p>
    <w:p>
      <w:r>
        <w:t>- Raw evidence</w:t>
      </w:r>
    </w:p>
    <w:p>
      <w:r>
        <w:t>- Reviewed inspection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FORM-009</w:t>
      </w:r>
    </w:p>
    <w:p>
      <w:r>
        <w:t>- EXT-005</w:t>
      </w:r>
    </w:p>
    <w:p>
      <w:r>
        <w:t>- QC-SOP-007</w:t>
      </w:r>
    </w:p>
    <w:p>
      <w:r>
        <w:t>- QC-SOP-008</w:t>
      </w:r>
    </w:p>
    <w:p>
      <w:r>
        <w:t>- QC-SOP-009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DEC-001 — Scientific source and applicability</w:t>
      </w:r>
    </w:p>
    <w:p>
      <w:r>
        <w:t>- DEC-003 — Sampling plan</w:t>
      </w:r>
    </w:p>
    <w:p>
      <w:r>
        <w:t>- DEC-005 — Per-point and overall evaluation</w:t>
      </w:r>
    </w:p>
    <w:p>
      <w:r>
        <w:t>- DEC-010 — Nelaton catheter variant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/quarantine/inspections</w:t>
      </w:r>
    </w:p>
    <w:p>
      <w:r>
        <w:t>- /quarantine/inspections/[inspectionId]</w:t>
      </w:r>
    </w:p>
    <w:p>
      <w:r>
        <w:t>- /quarantine/inspections/[inspectionId]/execute</w:t>
      </w:r>
    </w:p>
    <w:p>
      <w:r>
        <w:t>- /quarantine/inspections/[inspectionId]/review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DEC-001 — Source adoption and applicability</w:t>
      </w:r>
    </w:p>
    <w:p>
      <w:r>
        <w:t>The technical owner prepares a product matrix by item code, size, material, connector, sterile/bulk condition and intended use. For each row, identify the current company WI, product specification and external standard where applicable. Document Control compares the controlled master with the photographed copy. A newer standard edition triggers an impact review; it does not silently replace the company method.</w:t>
      </w:r>
    </w:p>
    <w:p>
      <w:r>
        <w:t>Decision and exception check: An applicable source package passes review when the exact revision can be retrieved, every mandatory point has a source and method, and the reviewer has resolved conflicting instructions. Preserve existing physical record outcomes as recorded. Registering them digitally does not create a new approval or retrospective release.</w:t>
      </w:r>
    </w:p>
    <w:p>
      <w:r>
        <w:t>Record: QC-REC-001 source adoption record; company form register; clause-to-point matrix.</w:t>
      </w:r>
    </w:p>
    <w:p>
      <w:r>
        <w:t>DEC-003 — Lot definition and sampling</w:t>
      </w:r>
    </w:p>
    <w:p>
      <w:r>
        <w:t>The QC planner selects the approved sampling procedure and records edition, lot quantity, normal/tightened/reduced status, inspection level, defect classes, AQL or alternative rationale, code letter, sample size and Ac/Re. Select across containers or production positions using the documented random/systematic method. Allocate destructive and non-destructive samples separately and prevent replacement of an unfavorable sample without an investigation.</w:t>
      </w:r>
    </w:p>
    <w:p>
      <w:r>
        <w:t>Decision and exception check: Compare total samples actually tested with the plan and reconcile extra runs, repeats and retained samples. The supplied feeding-tube record has a Sample Size entry and a different checked-quantity remark; reconcile that difference before using its plan as a precedent. A re-evaluation of a few retained items does not become acceptance of a new incoming lot.</w:t>
      </w:r>
    </w:p>
    <w:p>
      <w:r>
        <w:t>Record: QC-REC-003 sampling and custody plan; per-sample identifiers; original AQL/code/Ac/Re block.</w:t>
      </w:r>
    </w:p>
    <w:p>
      <w:r>
        <w:t>DEC-005 — Point evaluation and overall result</w:t>
      </w:r>
    </w:p>
    <w:p>
      <w:r>
        <w:t>For a valid numeric run, retain the unrounded observation and compare by the exact approved operator. For visual checks, record a concrete observation and the form legend. The physical legend distinguishes acceptable, not acceptable, read remarks and not applicable. Preserve R as a review requirement and NA with a point-specific reason; neither becomes a automatic PASS.</w:t>
      </w:r>
    </w:p>
    <w:p>
      <w:r>
        <w:t>Decision and exception check: Proposed aggregation: all required applicable points must have valid accepted outcomes before an overall pass is proposed. Any failed required point prevents a pass; missing/invalid/conflicted evidence remains HOLD/further evaluation. A reviewer resolves contradictory remarks even when an Accepted box is ticked. Lot release is a separate disposition.</w:t>
      </w:r>
    </w:p>
    <w:p>
      <w:r>
        <w:t>Record: QC-REC-005 acceptance-point specification and review; original per-point result and remarks.</w:t>
      </w:r>
    </w:p>
    <w:p>
      <w:r>
        <w:t>DEC-010 — Nelaton catheter inspection and mixed variants</w:t>
      </w:r>
    </w:p>
    <w:p>
      <w:r>
        <w:t>Inspect lubrication applicability, clarity, tip, eyes, OD/ID, length, connector color, connection/gluing, scale, labels, pouch and sterile/bulk presentation. Capture each design/color group separately. The report comments identify different connector designs and a pullout/leakage concern; preserve those details even where the overall box says Accepted.</w:t>
      </w:r>
    </w:p>
    <w:p>
      <w:r>
        <w:t>Decision and exception check: For the pullout or leakage point, identify sample, failure mode, fixture, load/pressure, duration and source limit under the product method. Do not add balloon checks to a non-balloon catheter merely because a different tube family has them. Require the reviewer to reconcile unfavorable remarks, group counts and lot disposition.</w:t>
      </w:r>
    </w:p>
    <w:p>
      <w:r>
        <w:t>Record: QC-WI-055; FORM-009; IMG-077/078/080; QC-REC-005/007/008.</w:t>
      </w:r>
    </w:p>
    <w:p>
      <w:pPr>
        <w:pStyle w:val="Heading1"/>
      </w:pPr>
      <w:r>
        <w:t>11. Official physical record workflow</w:t>
      </w:r>
    </w:p>
    <w:p>
      <w:r>
        <w:t>Prepare the specific company inspection form before opening the digital template. Record the form number/revision, According to WI reference, supplier or Product Re-evaluation context, PO/date, lot, received quantity, size/type/color and inspection date. A re-evaluation without a purchase order is not an invented new receipt.</w:t>
      </w:r>
    </w:p>
    <w:p>
      <w:r>
        <w:t>Give each selected piece a sample identity and retain its container/lot relationship. Execute every applicable printed point; record an observation or reading in Remarks and the required sample level/size. Follow the legend: acceptable, not acceptable, read remarks and not applicable are distinct. Explain NA against product design; do not copy NA from another lot.</w:t>
      </w:r>
    </w:p>
    <w:p>
      <w:r>
        <w:t>Reconcile AQL, Code Letter, Accept, Reject, Results and Status with actual sample counts and adverse remarks. The checkmark in Accepted is part of the original record; an unresolved unfavorable remark still requires a documented review when establishing a new digital conclusion. Preserve Checked by OBM Inspectors and Reviewed by Q.C.M as the original paper roles.</w:t>
      </w:r>
    </w:p>
    <w:p>
      <w:r>
        <w:t>Completion check: all rows and remarks are legible, sample count and subgroup totals reconcile, test references and raw readings are attached, and the review relates to the exact product/lot and form revision.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