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QC-WI-056 — Nasal cannulas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nasal cannulas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Respiratory product specialist; QC/QMS</w:t>
      </w:r>
    </w:p>
    <w:p>
      <w:r>
        <w:t>Review: Respiratory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DEC-011,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low-flow oxygen therapy rather than high-flow or another respiratory application. ISO 23368:2022 is a candidate only for low-flow nasal cannulae within its scope.</w:t>
      </w:r>
    </w:p>
    <w:p>
      <w:r>
        <w:t>3. Compare the supplied company inspection form with the effective product drawing and resolve revision differences.</w:t>
      </w:r>
    </w:p>
    <w:p>
      <w:r>
        <w:t>4. Inspect prongs, tubing, connectors, head/adjustment parts, surface defects, markings and packaging against the approved variant.</w:t>
      </w:r>
    </w:p>
    <w:p>
      <w:r>
        <w:t>5. Propose dimension, flow/occlusion, connector retention and required leak checks under the applicable approved product method.</w:t>
      </w:r>
    </w:p>
    <w:p>
      <w:r>
        <w:t>6. Record oxygen-service material and safety requirements from the approved design/manual; do not improvise oxygen-pressure testing.</w:t>
      </w:r>
    </w:p>
    <w:p>
      <w:r>
        <w:t>7. Check that the selected fixture and flow range represent the actual intended use.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FORM-010</w:t>
      </w:r>
    </w:p>
    <w:p>
      <w:r>
        <w:t>- EXT-006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DEC-011 — Nasal cannula intended flow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DEC-011 — Nasal cannula inspection</w:t>
      </w:r>
    </w:p>
    <w:p>
      <w:r>
        <w:t>Follow the 16 physical points: packing, appearance, nostril assembly, irregularities, type/size, tip holes, pilot/nostril assembly, thin tubing, connector, main tube, dimensions, connector condition/dimensions/gluing, logo and sterile/bulk condition. Measure each component with its own dimension identifier; do not combine several OD values into one field.</w:t>
      </w:r>
    </w:p>
    <w:p>
      <w:r>
        <w:t>Decision and exception check: Where the physical report quotes drawing dimensions in remarks, retain them with that item code and source reference. Distinguish measured values from tolerances. The photographed re-evaluation notes missing manufacturing/expiry label information; carry it into the disposition review. Flow and oxygen-service tests require the qualified method and apparatus.</w:t>
      </w:r>
    </w:p>
    <w:p>
      <w:r>
        <w:t>Record: QC-WI-056; FORM-010; IMG-076; QC-REC-005/007.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