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QC-WI-061 — Establish and measure an approved performance baseline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Measure representative performance and compare with approved service objectives.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Performance engineer; Product owner; QMS</w:t>
      </w:r>
    </w:p>
    <w:p>
      <w:r>
        <w:t>Review: Performance engineer; Product owner; QMS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QC-SOP-030</w:t>
      </w:r>
    </w:p>
    <w:p>
      <w:pPr>
        <w:pStyle w:val="Heading1"/>
      </w:pPr>
      <w:r>
        <w:t>3. Before you start</w:t>
      </w:r>
    </w:p>
    <w:p>
      <w:r>
        <w:t>- Owner-approved metrics, budgets and workload/applicability exist.</w:t>
      </w:r>
    </w:p>
    <w:p>
      <w:r>
        <w:t>- The environment, hardware, dataset and exact candidate are recorded.</w:t>
      </w:r>
    </w:p>
    <w:p>
      <w:pPr>
        <w:pStyle w:val="Heading1"/>
      </w:pPr>
      <w:r>
        <w:t>4. Work steps and checks</w:t>
      </w:r>
    </w:p>
    <w:p>
      <w:r>
        <w:t>1. Define user operations and representative permitted dataset sizes with the owner.</w:t>
      </w:r>
    </w:p>
    <w:p>
      <w:r>
        <w:t>2. Record candidate SHA/dirty fingerprint, runtime, DB18 version, hardware, browser/device and network conditions.</w:t>
      </w:r>
    </w:p>
    <w:p>
      <w:r>
        <w:t>3. Define warm and first-request/cold conditions and sufficient repeated samples before measuring.</w:t>
      </w:r>
    </w:p>
    <w:p>
      <w:r>
        <w:t>4. Capture raw query count, latency/p95, payload size and applicable LCP/INP using the project-supported tools.</w:t>
      </w:r>
    </w:p>
    <w:p>
      <w:r>
        <w:t>5. Separate server, database and browser timings; record failed requests and unavailable measurements.</w:t>
      </w:r>
    </w:p>
    <w:p>
      <w:r>
        <w:t>6. For a change, repeat before/after under the same conditions and retain raw samples.</w:t>
      </w:r>
    </w:p>
    <w:p>
      <w:r>
        <w:t>7. Compare against the actually approved budget, not a historical proposed number.</w:t>
      </w:r>
    </w:p>
    <w:p>
      <w:r>
        <w:t>8. Record remaining environment or device limits and obtain owner review before an acceptance claim.</w:t>
      </w:r>
    </w:p>
    <w:p>
      <w:pPr>
        <w:pStyle w:val="Heading1"/>
      </w:pPr>
      <w:r>
        <w:t>5. Decisions, errors and stop conditions</w:t>
      </w:r>
    </w:p>
    <w:p>
      <w:r>
        <w:t>- No approved budget: measurements can be recorded but acceptance stays unresolved.</w:t>
      </w:r>
    </w:p>
    <w:p>
      <w:r>
        <w:t>- Local loopback or an after-only sample does not establish production improvement.</w:t>
      </w:r>
    </w:p>
    <w:p>
      <w:pPr>
        <w:pStyle w:val="Heading1"/>
      </w:pPr>
      <w:r>
        <w:t>6. Records and handoff</w:t>
      </w:r>
    </w:p>
    <w:p>
      <w:r>
        <w:t>- Approved baseline</w:t>
      </w:r>
    </w:p>
    <w:p>
      <w:r>
        <w:t>- Environment/workload</w:t>
      </w:r>
    </w:p>
    <w:p>
      <w:r>
        <w:t>- Raw samples</w:t>
      </w:r>
    </w:p>
    <w:p>
      <w:r>
        <w:t>- Comparison and acceptance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Documents/DECISION-ASSUMPTION-REGISTER-026.md</w:t>
      </w:r>
    </w:p>
    <w:p>
      <w:r>
        <w:t>- Documents/RELEASE-RUNBOOK.md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DEC-024 — Release gates, applicability and human acceptance</w:t>
      </w:r>
    </w:p>
    <w:p>
      <w:r>
        <w:t>- DEC-025 — Performance budgets and representative environment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DEC-024 — Release and human UAT evidence</w:t>
      </w:r>
    </w:p>
    <w:p>
      <w:r>
        <w:t>Freeze source SHA, dirty fingerprint, build/runtime identity and migration state. Define real UAT roles and scenarios, including receiving, inspection/lab review, denial, stale version, uncertain submission, reports and recovery intent. Participants execute with their own authorized accounts and record observed outcome, evidence and defects. Preserve failed and blocked cases.</w:t>
      </w:r>
    </w:p>
    <w:p>
      <w:r>
        <w:t>Decision and exception check: A verification lead checks candidate binding and unresolved defects; the authorized acceptor signs only real participant evidence. A source test, authored script or planned scenario cannot be substituted for the session. If the candidate changes, assess affected evidence and rebind/rerun as required. Gate PASS does not itself execute release or deployment.</w:t>
      </w:r>
    </w:p>
    <w:p>
      <w:r>
        <w:t>Record: QC-REC-017 release gate and UAT session; QC-SOP-030; route-coverage register.</w:t>
      </w:r>
    </w:p>
    <w:p>
      <w:r>
        <w:t>DEC-025 — Performance measurement contract</w:t>
      </w:r>
    </w:p>
    <w:p>
      <w:r>
        <w:t>Capture request/query counts, payload size and the relevant timing metric with clock/method details. For p95, retain all raw samples, sample count and percentile method; do not report a percentile from one observation. Compare before/after with equivalent data and conditions. Include errors and timeouts in the stated analysis rather than silently dropping them.</w:t>
      </w:r>
    </w:p>
    <w:p>
      <w:r>
        <w:t>Decision and exception check: For interactive pages, define the measured user interaction and tooling; page load time is not INP. Record server and browser segments separately. If a budget is absent, report measured values and request the acceptance decision without claiming a pass. A local loopback benchmark does not establish provider latency.</w:t>
      </w:r>
    </w:p>
    <w:p>
      <w:r>
        <w:t>Record: QC-REC-018 performance plan and measurements; QC-WI-061.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