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QC-WI-062 — Review audit evidence and controlled-record history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Trace a change or decision across record, version, signature and audit evidence.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Authorized audit reader; QMS</w:t>
      </w:r>
    </w:p>
    <w:p>
      <w:r>
        <w:t>Review: Authorized audit reader; QMS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QC-SOP-024</w:t>
      </w:r>
    </w:p>
    <w:p>
      <w:pPr>
        <w:pStyle w:val="Heading1"/>
      </w:pPr>
      <w:r>
        <w:t>3. Before you start</w:t>
      </w:r>
    </w:p>
    <w:p>
      <w:r>
        <w:t>- Audit-view permission and record scope apply.</w:t>
      </w:r>
    </w:p>
    <w:p>
      <w:r>
        <w:t>- The target record and action/time context are known.</w:t>
      </w:r>
    </w:p>
    <w:p>
      <w:pPr>
        <w:pStyle w:val="Heading1"/>
      </w:pPr>
      <w:r>
        <w:t>4. Work steps and checks</w:t>
      </w:r>
    </w:p>
    <w:p>
      <w:r>
        <w:t>1. Open /audit through your authorized account and apply the relevant supported filters.</w:t>
      </w:r>
    </w:p>
    <w:p>
      <w:r>
        <w:t>2. Find the target record and action using identifiers rather than unnecessary personal data.</w:t>
      </w:r>
    </w:p>
    <w:p>
      <w:r>
        <w:t>3. Compare actor, action, time and request correlation with the record history.</w:t>
      </w:r>
    </w:p>
    <w:p>
      <w:r>
        <w:t>4. For a signed decision, inspect the actual target version/hash and signature meaning.</w:t>
      </w:r>
    </w:p>
    <w:p>
      <w:r>
        <w:t>5. Confirm that a correction/reopen preserves earlier evidence and does not rewrite it.</w:t>
      </w:r>
    </w:p>
    <w:p>
      <w:r>
        <w:t>6. For an outbox event, keep transactional enqueue evidence separate from actual delivery.</w:t>
      </w:r>
    </w:p>
    <w:p>
      <w:r>
        <w:t>7. Record a discrepancy in the incident or quality process without modifying the audit row.</w:t>
      </w:r>
    </w:p>
    <w:p>
      <w:r>
        <w:t>8. Retain a permitted sanitized extract under the approved record policy.</w:t>
      </w:r>
    </w:p>
    <w:p>
      <w:pPr>
        <w:pStyle w:val="Heading1"/>
      </w:pPr>
      <w:r>
        <w:t>5. Decisions, errors and stop conditions</w:t>
      </w:r>
    </w:p>
    <w:p>
      <w:r>
        <w:t>- Audit event alone is not signature or physical execution proof.</w:t>
      </w:r>
    </w:p>
    <w:p>
      <w:r>
        <w:t>- No update/delete of historical audit evidence is authorized.</w:t>
      </w:r>
    </w:p>
    <w:p>
      <w:pPr>
        <w:pStyle w:val="Heading1"/>
      </w:pPr>
      <w:r>
        <w:t>6. Records and handoff</w:t>
      </w:r>
    </w:p>
    <w:p>
      <w:r>
        <w:t>- Audit trace</w:t>
      </w:r>
    </w:p>
    <w:p>
      <w:r>
        <w:t>- Record/signature comparison</w:t>
      </w:r>
    </w:p>
    <w:p>
      <w:r>
        <w:t>- Sanitized discrepancy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Documents/DATA-GOVERNANCE-REGISTER-032.md</w:t>
      </w:r>
    </w:p>
    <w:p>
      <w:r>
        <w:t>- src/shared/routing/routes.ts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DEC-020 — Retention, file safety and record storage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/audit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DEC-020 — Retention and controlled storage</w:t>
      </w:r>
    </w:p>
    <w:p>
      <w:r>
        <w:t>For each class, QMS and the record owner set the legal/contractual basis, retention trigger, approved period, archive location, access roles, retrieval target and disposal authority. A legal hold suspends disposal. On receipt, verify type, readability, complete pages and malware-scan outcome under approved tooling; isolate suspicious files. A content hash checks integrity, not safety or approval.</w:t>
      </w:r>
    </w:p>
    <w:p>
      <w:r>
        <w:t>Decision and exception check: Perform a retrieval check by locating a selected record, opening all attachments and confirming identity/hash and related signatures. Disposal requires hold review, eligibility evidence, authorized approval and a destruction log. If no retention period is approved, retain the record pending disposition rather than inventing an expiry.</w:t>
      </w:r>
    </w:p>
    <w:p>
      <w:r>
        <w:t>Record: QC-REC-013 retention, retrieval and disposition schedule; QC-SOP-010/024.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