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QC-WI-065 — Review storage and environment configuration readiness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Verify configuration and file-storage prerequisites without exposing secrets or treating presence as proof.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Authorized IT operator; Named owner</w:t>
      </w:r>
    </w:p>
    <w:p>
      <w:r>
        <w:t>Review: Authorized IT operator; Named owner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QC-SOP-029</w:t>
      </w:r>
    </w:p>
    <w:p>
      <w:pPr>
        <w:pStyle w:val="Heading1"/>
      </w:pPr>
      <w:r>
        <w:t>3. Before you start</w:t>
      </w:r>
    </w:p>
    <w:p>
      <w:r>
        <w:t>- An approved environment and read-only inspection authority exist.</w:t>
      </w:r>
    </w:p>
    <w:p>
      <w:r>
        <w:t>- Configuration contract and storage owner policy are available.</w:t>
      </w:r>
    </w:p>
    <w:p>
      <w:pPr>
        <w:pStyle w:val="Heading1"/>
      </w:pPr>
      <w:r>
        <w:t>4. Work steps and checks</w:t>
      </w:r>
    </w:p>
    <w:p>
      <w:r>
        <w:t>1. Identify environment, runtime candidate and provider scope.</w:t>
      </w:r>
    </w:p>
    <w:p>
      <w:r>
        <w:t>2. Compare required variable names/presence with the configuration contract without printing values.</w:t>
      </w:r>
    </w:p>
    <w:p>
      <w:r>
        <w:t>3. Keep optional R2 settings all-or-none and record whether the approved durable provider is actually configured.</w:t>
      </w:r>
    </w:p>
    <w:p>
      <w:r>
        <w:t>4. Verify registered file upload/retrieval/digest in an authorized isolated context.</w:t>
      </w:r>
    </w:p>
    <w:p>
      <w:r>
        <w:t>5. Record that the local adapter is memory-only; do not label it durable backup storage.</w:t>
      </w:r>
    </w:p>
    <w:p>
      <w:r>
        <w:t>6. Check actual provider access, file/database consistency and recovery artifact availability.</w:t>
      </w:r>
    </w:p>
    <w:p>
      <w:r>
        <w:t>7. Assess missing telemetry, AI or provider settings under their own approved policies; configuration is not owner approval.</w:t>
      </w:r>
    </w:p>
    <w:p>
      <w:r>
        <w:t>8. Report readiness gaps and obtain explicit change/deployment authority before editing an operating environment.</w:t>
      </w:r>
    </w:p>
    <w:p>
      <w:pPr>
        <w:pStyle w:val="Heading1"/>
      </w:pPr>
      <w:r>
        <w:t>5. Decisions, errors and stop conditions</w:t>
      </w:r>
    </w:p>
    <w:p>
      <w:r>
        <w:t>- Never export connection strings, tokens or provider keys into evidence.</w:t>
      </w:r>
    </w:p>
    <w:p>
      <w:r>
        <w:t>- A configured provider name does not prove retrieval or recovery.</w:t>
      </w:r>
    </w:p>
    <w:p>
      <w:pPr>
        <w:pStyle w:val="Heading1"/>
      </w:pPr>
      <w:r>
        <w:t>6. Records and handoff</w:t>
      </w:r>
    </w:p>
    <w:p>
      <w:r>
        <w:t>- Sanitized presence comparison</w:t>
      </w:r>
    </w:p>
    <w:p>
      <w:r>
        <w:t>- File roundtrip</w:t>
      </w:r>
    </w:p>
    <w:p>
      <w:r>
        <w:t>- Provider evidence</w:t>
      </w:r>
    </w:p>
    <w:p>
      <w:r>
        <w:t>- Readiness gaps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Documents/CONFIGURATION-REFERENCE.md</w:t>
      </w:r>
    </w:p>
    <w:p>
      <w:r>
        <w:t>- Documents/BACKUP-RECOVERY-PLAN.md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DEC-020 — Retention, file safety and record storage</w:t>
      </w:r>
    </w:p>
    <w:p>
      <w:r>
        <w:t>- DEC-021 — Recovery authority, provider and objectives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/system/health</w:t>
      </w:r>
    </w:p>
    <w:p>
      <w:r>
        <w:t>- /system/control-center</w:t>
      </w:r>
    </w:p>
    <w:p>
      <w:r>
        <w:t>- /system/backups</w:t>
      </w:r>
    </w:p>
    <w:p>
      <w:r>
        <w:t>- /system/backups/[backupId]</w:t>
      </w:r>
    </w:p>
    <w:p>
      <w:r>
        <w:t>- /system/backups/[backupId]/restore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DEC-020 — Retention and controlled storage</w:t>
      </w:r>
    </w:p>
    <w:p>
      <w:r>
        <w:t>For each class, QMS and the record owner set the legal/contractual basis, retention trigger, approved period, archive location, access roles, retrieval target and disposal authority. A legal hold suspends disposal. On receipt, verify type, readability, complete pages and malware-scan outcome under approved tooling; isolate suspicious files. A content hash checks integrity, not safety or approval.</w:t>
      </w:r>
    </w:p>
    <w:p>
      <w:r>
        <w:t>Decision and exception check: Perform a retrieval check by locating a selected record, opening all attachments and confirming identity/hash and related signatures. Disposal requires hold review, eligibility evidence, authorized approval and a destruction log. If no retention period is approved, retain the record pending disposition rather than inventing an expiry.</w:t>
      </w:r>
    </w:p>
    <w:p>
      <w:r>
        <w:t>Record: QC-REC-013 retention, retrieval and disposition schedule; QC-SOP-010/024.</w:t>
      </w:r>
    </w:p>
    <w:p>
      <w:r>
        <w:t>DEC-021 — Database and file recovery protocol</w:t>
      </w:r>
    </w:p>
    <w:p>
      <w:r>
        <w:t>For each exercise, obtain explicit isolated-target authorization and the provider runbook. Record source artifact/time, database and file manifest, checksums, target identity, restore start/end and service verification times. Restore only into the approved isolated destination, check relational integrity and attachment readability, and reconcile a representative cross-domain record set before sign-off.</w:t>
      </w:r>
    </w:p>
    <w:p>
      <w:r>
        <w:t>Decision and exception check: Measure achieved RPO as the difference between the incident/reference time and latest recoverable committed data; measure RTO from the defined interruption start to verified service recovery. Record the start/end definitions before the exercise. Compare with owner-approved objectives; no objective is inferred from a successful local copy. Production restore requires separate authority.</w:t>
      </w:r>
    </w:p>
    <w:p>
      <w:r>
        <w:t>Record: QC-REC-014 recovery exercise; QC-WI-047/048/065.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