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QC-WI-066 — Review quarantine administration and configuration sources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Distinguish template control from policy/configuration availability.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template administrator; Named owner; QC technical owner</w:t>
      </w:r>
    </w:p>
    <w:p>
      <w:r>
        <w:t>Review: Authorized template administrator; Named owner; QC technical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QC-SOP-022</w:t>
      </w:r>
    </w:p>
    <w:p>
      <w:pPr>
        <w:pStyle w:val="Heading1"/>
      </w:pPr>
      <w:r>
        <w:t>3. Before you start</w:t>
      </w:r>
    </w:p>
    <w:p>
      <w:r>
        <w:t>- The actor has the exact administration/template permission.</w:t>
      </w:r>
    </w:p>
    <w:p>
      <w:r>
        <w:t>- The source contract and approved technical decision exist.</w:t>
      </w:r>
    </w:p>
    <w:p>
      <w:pPr>
        <w:pStyle w:val="Heading1"/>
      </w:pPr>
      <w:r>
        <w:t>4. Work steps and checks</w:t>
      </w:r>
    </w:p>
    <w:p>
      <w:r>
        <w:t>1. Open /quarantine/admin or the relevant template detail under authorized scope.</w:t>
      </w:r>
    </w:p>
    <w:p>
      <w:r>
        <w:t>2. Check whether the primary source is available, denied or empty.</w:t>
      </w:r>
    </w:p>
    <w:p>
      <w:r>
        <w:t>3. Read the current template and frozen-source relationships.</w:t>
      </w:r>
    </w:p>
    <w:p>
      <w:r>
        <w:t>4. Use QC-WI-037 for eligible template edits/review/stop actions.</w:t>
      </w:r>
    </w:p>
    <w:p>
      <w:r>
        <w:t>5. Treat unrelated configuration panels as unavailable if their providers are absent; do not fabricate settings.</w:t>
      </w:r>
    </w:p>
    <w:p>
      <w:r>
        <w:t>6. Identify the responsible source owner and required configuration/authority decision.</w:t>
      </w:r>
    </w:p>
    <w:p>
      <w:r>
        <w:t>7. Verify any authorized change through the actual source and record version.</w:t>
      </w:r>
    </w:p>
    <w:p>
      <w:r>
        <w:t>8. Confirm existing executions retain their original template snapshot.</w:t>
      </w:r>
    </w:p>
    <w:p>
      <w:pPr>
        <w:pStyle w:val="Heading1"/>
      </w:pPr>
      <w:r>
        <w:t>5. Decisions, errors and stop conditions</w:t>
      </w:r>
    </w:p>
    <w:p>
      <w:r>
        <w:t>- Page access does not authorize configuration mutation.</w:t>
      </w:r>
    </w:p>
    <w:p>
      <w:r>
        <w:t>- Missing source does not permit a default criterion or guard bypass.</w:t>
      </w:r>
    </w:p>
    <w:p>
      <w:pPr>
        <w:pStyle w:val="Heading1"/>
      </w:pPr>
      <w:r>
        <w:t>6. Records and handoff</w:t>
      </w:r>
    </w:p>
    <w:p>
      <w:r>
        <w:t>- Template/configuration source status</w:t>
      </w:r>
    </w:p>
    <w:p>
      <w:r>
        <w:t>- Owner decision</w:t>
      </w:r>
    </w:p>
    <w:p>
      <w:r>
        <w:t>- Authorized change evidence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src/modules/quarantine/templates</w:t>
      </w:r>
    </w:p>
    <w:p>
      <w:r>
        <w:t>- src/shared/routing/routes.ts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DEC-005 — Per-point and overall evaluation</w:t>
      </w:r>
    </w:p>
    <w:p>
      <w:r>
        <w:t>- DEC-016 — Generic signature and document authority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/quarantine/admin</w:t>
      </w:r>
    </w:p>
    <w:p>
      <w:r>
        <w:t>- /quarantine/admin/[templateId]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